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____________</w:t>
      </w:r>
    </w:p>
    <w:p w:rsidR="005D438C" w:rsidRDefault="005D438C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>
        <w:rPr>
          <w:rFonts w:ascii="PT Astra Serif" w:hAnsi="PT Astra Serif"/>
          <w:sz w:val="24"/>
        </w:rPr>
        <w:t>_____» ________ 2025 года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__________, с одной стороны, и </w:t>
      </w:r>
      <w:r>
        <w:rPr>
          <w:rFonts w:ascii="PT Astra Serif" w:hAnsi="PT Astra Serif"/>
          <w:bCs/>
          <w:sz w:val="24"/>
          <w:szCs w:val="24"/>
        </w:rPr>
        <w:t>___________________________________________________именуемый в дальнейшем «Исполнитель»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:rsidR="005D438C" w:rsidRDefault="005D438C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:rsidR="005D438C" w:rsidRDefault="0027196A">
      <w:pPr>
        <w:pStyle w:val="afc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и обслуживанию выставочной экспозиции (далее по тексту – выставочный стенд, выставочная экспозиция) Тульской области в рамках Петербургского Международного Экономического Форума 2025 (далее – Форум) согласно Техническому заданию (Приложение № 1) и Спецификации (Приложение № 2).</w:t>
      </w:r>
    </w:p>
    <w:p w:rsidR="005D438C" w:rsidRDefault="0027196A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Место проведения Форума: Россия, Санкт-Петербург, Петербургское шоссе, д. 64, корп. 1, лит. А, павильон </w:t>
      </w:r>
      <w:r>
        <w:rPr>
          <w:rFonts w:ascii="PT Astra Serif" w:hAnsi="PT Astra Serif"/>
          <w:sz w:val="24"/>
          <w:lang w:val="en-US"/>
        </w:rPr>
        <w:t>H</w:t>
      </w:r>
      <w:r>
        <w:rPr>
          <w:rFonts w:ascii="PT Astra Serif" w:hAnsi="PT Astra Serif"/>
          <w:sz w:val="24"/>
        </w:rPr>
        <w:t>, стенд №26.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Форума: с 18.06.2025 по 21.06.2025 (включительно).</w:t>
      </w:r>
    </w:p>
    <w:p w:rsidR="005D438C" w:rsidRDefault="0027196A">
      <w:pPr>
        <w:pStyle w:val="afc"/>
        <w:numPr>
          <w:ilvl w:val="1"/>
          <w:numId w:val="2"/>
        </w:numPr>
        <w:spacing w:line="240" w:lineRule="auto"/>
        <w:ind w:left="0" w:firstLine="709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по «27» июня 2025 г. (включительно)</w:t>
      </w: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изготовить и передать Заказчику выставочный стенд, оборудованный в соответствии с перечнем</w:t>
      </w:r>
      <w:r>
        <w:t xml:space="preserve"> </w:t>
      </w:r>
      <w:r w:rsidRPr="002A5AEB">
        <w:rPr>
          <w:rFonts w:ascii="PT Astra Serif" w:hAnsi="PT Astra Serif"/>
          <w:sz w:val="24"/>
        </w:rPr>
        <w:t>согласно Техническому заданию (Приложение № 1) и Спецификации (Приложение № 2). Все к</w:t>
      </w:r>
      <w:r>
        <w:rPr>
          <w:rFonts w:ascii="PT Astra Serif" w:hAnsi="PT Astra Serif"/>
          <w:sz w:val="24"/>
        </w:rPr>
        <w:t>онструктивные элементы выставочной экспозиции, включая мебель</w:t>
      </w:r>
      <w:r w:rsidR="0013316D">
        <w:rPr>
          <w:rFonts w:ascii="PT Astra Serif" w:hAnsi="PT Astra Serif"/>
          <w:sz w:val="24"/>
        </w:rPr>
        <w:t xml:space="preserve"> (новая, без следов повреждений)</w:t>
      </w:r>
      <w:r>
        <w:rPr>
          <w:rFonts w:ascii="PT Astra Serif" w:hAnsi="PT Astra Serif"/>
          <w:sz w:val="24"/>
        </w:rPr>
        <w:t xml:space="preserve"> и оборудование (далее по тексту – Выставочное оборудование), предоставляются Исполнителем Заказчику во временное пользование (аренду) на период проведения ПМЭФ-2025 и поддерживаются Исполнителем в исправном состоянии в период проведения Форума. Исполнитель передает Заказчику выставочное оборудование по Акту приемки выставочного оборудования (Приложение №6).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Форума Исполнитель обязуется провести демонтаж и утилизацию выставочного стенда. 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Форума за свой счет.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 Исполнитель обеспечивает утилизацию мусорных отходов в соответствии с действующим законодательством.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оплачивает за свой счет все связанные с функционированием выставочного стенда расходы.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2.1.8. В период подготовки и проведения ПМЭФ-2025 Исполнитель обязан довести до сведения собственных сотрудников, а также сотрудников привлеченных Исполнителем третьих лиц, находящихся на площадке проведения ПМЭФ-2025 в силу служебной необходимости информацию о том, что питание обслуживающего персонала производится исключительно в специально отведенных для этого зонах или за пределами площадки проведения ПМЭФ-2025, а также информацию о запрете использования на площадке проведения ПМЭФ-2025 скутеров, </w:t>
      </w:r>
      <w:proofErr w:type="spellStart"/>
      <w:r>
        <w:rPr>
          <w:rFonts w:ascii="PT Astra Serif" w:hAnsi="PT Astra Serif"/>
          <w:sz w:val="24"/>
        </w:rPr>
        <w:t>сегвеев</w:t>
      </w:r>
      <w:proofErr w:type="spellEnd"/>
      <w:r>
        <w:rPr>
          <w:rFonts w:ascii="PT Astra Serif" w:hAnsi="PT Astra Serif"/>
          <w:sz w:val="24"/>
        </w:rPr>
        <w:t xml:space="preserve">, самокатов, роликов, велосипедов и других подобных средств передвижения в течение всего периода нахождения на площадке. В случае нарушения сотрудниками Исполнителя режима передвижения по площадке ПМЭФ-2025 Исполнителю могут быть предъявлены финансовые </w:t>
      </w:r>
      <w:r>
        <w:rPr>
          <w:rFonts w:ascii="PT Astra Serif" w:hAnsi="PT Astra Serif"/>
          <w:sz w:val="24"/>
        </w:rPr>
        <w:lastRenderedPageBreak/>
        <w:t>штрафные санкции в размере 50 000 (Пятьдесят тысяч) рублей, за каждого нарушившего сотрудника.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2.1.9. В период подготовки и проведения ПМЭФ-2025 Исполнитель обязан довести до сведения собственных сотрудников, а также сотрудников привлеченных Исполнитель третьих лиц, находящихся на площадке проведения ПМЭФ-2025 в силу служебной необходимости то, что в связи с ограниченным количеством используемых частот технологии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 на площадке проведения ПМЭФ-2025, и во избежание ухудшения качества и помех в работе специализированной сети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 для участников ПМЭФ-2025, сотрудникам категорически запрещается использование собственного оборудования, обеспечивающего покрытие сети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 в течение всего периода подготовки и проведения ПМЭФ-2025  на всей территории проведения ПМЭФ-2025. В случае использования собственного оборудования, обеспечивающего покрытие сети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 сотрудниками, указанными в настоящем пункте, Организатор ПМЭФ-2025 (Фонд «</w:t>
      </w:r>
      <w:proofErr w:type="spellStart"/>
      <w:r>
        <w:rPr>
          <w:rFonts w:ascii="PT Astra Serif" w:hAnsi="PT Astra Serif"/>
          <w:sz w:val="24"/>
        </w:rPr>
        <w:t>Росконгресс</w:t>
      </w:r>
      <w:proofErr w:type="spellEnd"/>
      <w:r>
        <w:rPr>
          <w:rFonts w:ascii="PT Astra Serif" w:hAnsi="PT Astra Serif"/>
          <w:sz w:val="24"/>
        </w:rPr>
        <w:t xml:space="preserve">») имеет право демонтировать несанкционированное оборудование и предъявить Исполнитель финансовые штрафные санкции в размере 100 000 (Сто тысяч) рублей, за каждый выявленный случай нарушения. Использование собственного оборудования, обеспечивающего покрытие сети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, допускается лишь при соблюдении «Правил пользования сетью </w:t>
      </w:r>
      <w:proofErr w:type="spellStart"/>
      <w:r>
        <w:rPr>
          <w:rFonts w:ascii="PT Astra Serif" w:hAnsi="PT Astra Serif"/>
          <w:sz w:val="24"/>
        </w:rPr>
        <w:t>Wi-Fi</w:t>
      </w:r>
      <w:proofErr w:type="spellEnd"/>
      <w:r>
        <w:rPr>
          <w:rFonts w:ascii="PT Astra Serif" w:hAnsi="PT Astra Serif"/>
          <w:sz w:val="24"/>
        </w:rPr>
        <w:t xml:space="preserve"> на территории проведения ПМЭФ-2025», размещенных на официальном сайте ПМЭФ-2025.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2.1.10. Во избежание недоразумений и пропажи имущества в день заезда/выезда, во время монтажа/демонтажа, во время работы ПМЭФ-2025 и после её окончания, Исполнителю необходимо обеспечить постоянное присутствие ответственного представителя на стенде. Необходимо освободить стенды от экспонатов в последний день работы ПМЭФ-2025 (после ее завершения). 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 Исполнитель обязан довести до сведения своих сотрудников, а также третьих лиц, привлекаемых Исполнителем для оказания предусмотренных настоящим Договором услуг, что в период подготовки, проведения и до окончания ПМЭФ-2025, а в отношении информации, указанной в п. 2.1.11.4. – бессрочно, запрещается размещать в средствах массовой информации, в информационно-телекоммуникационной сети «Интернет» информацию, которую Стороны признают конфиденциальной (в том числе фото-, видеоматериалы и другие материалы):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2.1.11.1. Беджи, транспортные пропуски и/или прочие </w:t>
      </w:r>
      <w:proofErr w:type="spellStart"/>
      <w:r>
        <w:rPr>
          <w:rFonts w:ascii="PT Astra Serif" w:hAnsi="PT Astra Serif"/>
          <w:sz w:val="24"/>
        </w:rPr>
        <w:t>аккредитационные</w:t>
      </w:r>
      <w:proofErr w:type="spellEnd"/>
      <w:r>
        <w:rPr>
          <w:rFonts w:ascii="PT Astra Serif" w:hAnsi="PT Astra Serif"/>
          <w:sz w:val="24"/>
        </w:rPr>
        <w:t xml:space="preserve"> документы;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2.1.11.2. Альбом схем и/или его части, график производства монтажных/демонтажных работ и любые другие документы узкоспециализированного толка, предназначенные строго для служебного пользования и не опубликованные на официальном сайте ПМЭФ-2025 или официальном сайте Организатора www.roscongress.org (далее - официальный сайт Организатора) или аккаунтах в социальных сетях ПМЭФ-2025 и Организатора, ссылки на которые указаны на официальном сайте ПМЭФ-2025 и официальном сайте Организатора;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2.1.11.3. Общие планы и ракурсы площадки проведения ПМЭФ-2025 в период монтажных и демонтажных работ (кроме локальных частей собственного стенда и объектов Экспонента и его подрядных организаций, без наличия в кадре общих зон площадки и других стендов) без согласования со службой безопасности Форума;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2.1.11.4. Происшествия, ЧП, несчастные случаи и прочие события, влияющие на имидж ПМЭФ-2025, организаторов, спонсоров и партнеров или участников без уведомления пресс-службы Форума. В случае нарушения данного требования Исполнителем, его сотрудниками, а также третьими лицами, ответственность за действия которых несет Исполнитель, Организатор может предъявить Исполнителю финансовые штрафные санкции в размере 100 000 (Сто тысяч) рублей, за каждый выявленный случай нарушения. Лица, совершившие указанные нарушения, могут быть лишены аккредитации на Форум.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2.1.12. Исполнитель гарантирует обеспечить направляемых сотрудников средствами индивидуальной защиты (маски, антисептики) и соблюдение рекомендации Всемирной организации здравоохранения и рекомендации Федеральной службы по надзору в сфере защиты прав потребителей и благополучия человека для бизнеса в условиях сохранения рисков распространения COVID-19 (https://www.rospotrebnadzor.ru/region/korono_virus/rekomendatsii-dlya-biznesa-covid-19.php): рекомендации по проведению профилактических мероприятий по предупреждению распространения новой </w:t>
      </w:r>
      <w:proofErr w:type="spellStart"/>
      <w:r>
        <w:rPr>
          <w:rFonts w:ascii="PT Astra Serif" w:hAnsi="PT Astra Serif"/>
          <w:sz w:val="24"/>
        </w:rPr>
        <w:t>коронавирусной</w:t>
      </w:r>
      <w:proofErr w:type="spellEnd"/>
      <w:r>
        <w:rPr>
          <w:rFonts w:ascii="PT Astra Serif" w:hAnsi="PT Astra Serif"/>
          <w:sz w:val="24"/>
        </w:rPr>
        <w:t xml:space="preserve"> инфекции (COVID-19) при осуществлении </w:t>
      </w:r>
      <w:proofErr w:type="spellStart"/>
      <w:r>
        <w:rPr>
          <w:rFonts w:ascii="PT Astra Serif" w:hAnsi="PT Astra Serif"/>
          <w:sz w:val="24"/>
        </w:rPr>
        <w:t>конгрессной</w:t>
      </w:r>
      <w:proofErr w:type="spellEnd"/>
      <w:r>
        <w:rPr>
          <w:rFonts w:ascii="PT Astra Serif" w:hAnsi="PT Astra Serif"/>
          <w:sz w:val="24"/>
        </w:rPr>
        <w:t xml:space="preserve"> и выставочной деятельности (МР 3.1/2.1.0198-20).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2.1.13. Исполнитель в обязательном порядке следует регламенту и выполняет следующие технические требования и условия, размещенные на сайте Форума: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Технические требования к подрядным организациям, производящим проектные и строительные работы на центральной площадке проведения ПМЭФ-2025 (КВЦ «</w:t>
      </w:r>
      <w:proofErr w:type="spellStart"/>
      <w:r>
        <w:rPr>
          <w:rFonts w:ascii="PT Astra Serif" w:hAnsi="PT Astra Serif"/>
          <w:sz w:val="24"/>
        </w:rPr>
        <w:t>Экспофорум</w:t>
      </w:r>
      <w:proofErr w:type="spellEnd"/>
      <w:r>
        <w:rPr>
          <w:rFonts w:ascii="PT Astra Serif" w:hAnsi="PT Astra Serif"/>
          <w:sz w:val="24"/>
        </w:rPr>
        <w:t>»);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Технические условия на застройку павильонов и наружных площадей центральной площадки проведения ПМЭФ-2025 (КВЦ «</w:t>
      </w:r>
      <w:proofErr w:type="spellStart"/>
      <w:r>
        <w:rPr>
          <w:rFonts w:ascii="PT Astra Serif" w:hAnsi="PT Astra Serif"/>
          <w:sz w:val="24"/>
        </w:rPr>
        <w:t>Экспофорум</w:t>
      </w:r>
      <w:proofErr w:type="spellEnd"/>
      <w:r>
        <w:rPr>
          <w:rFonts w:ascii="PT Astra Serif" w:hAnsi="PT Astra Serif"/>
          <w:sz w:val="24"/>
        </w:rPr>
        <w:t>»);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Регламент допуска подрядных организаций к производству работ по монтажу, демонтажу, техническому обслуживанию временно возводимых объектов в павильонах и на открытых площадях центральной площадки проведения ПМЭФ-2025 (КВЦ «</w:t>
      </w:r>
      <w:proofErr w:type="spellStart"/>
      <w:r>
        <w:rPr>
          <w:rFonts w:ascii="PT Astra Serif" w:hAnsi="PT Astra Serif"/>
          <w:sz w:val="24"/>
        </w:rPr>
        <w:t>Экспофорум</w:t>
      </w:r>
      <w:proofErr w:type="spellEnd"/>
      <w:r>
        <w:rPr>
          <w:rFonts w:ascii="PT Astra Serif" w:hAnsi="PT Astra Serif"/>
          <w:sz w:val="24"/>
        </w:rPr>
        <w:t>»).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 Незамедлительно письменно довести до сведения Исполнителя о любых допущенных нарушениях, касающихся оформления Выставочной экспозиции и работы выставочного оборудования.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2.3.4.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По окончании работы Форума, в период с 21 июня 2025 года по 23 июня 2025 года Заказчик обязан вернуть Исполнителю Выставочное оборудование по Акту возврата выставочного оборудования (Приложение №7).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2.5. Все имущественные права, а также авторские, исключительные имущественные и неимущественные права, а также смежные права на использование дизайнов, проектно-технической документации, текстов, </w:t>
      </w:r>
      <w:proofErr w:type="spellStart"/>
      <w:r>
        <w:rPr>
          <w:rFonts w:ascii="PT Astra Serif" w:hAnsi="PT Astra Serif"/>
          <w:sz w:val="24"/>
        </w:rPr>
        <w:t>раскадровок</w:t>
      </w:r>
      <w:proofErr w:type="spellEnd"/>
      <w:r>
        <w:rPr>
          <w:rFonts w:ascii="PT Astra Serif" w:hAnsi="PT Astra Serif"/>
          <w:sz w:val="24"/>
        </w:rPr>
        <w:t xml:space="preserve"> и других материалов, заказанных, принятых по Акту, принадлежат Заказчику с момента подписания Акта на весь срок действия авторского права. 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2.6. Исполнитель не имеет права использовать защищенные авторским правом материалы, предоставленные Заказчиком, в своих интересах и в интересах третьих лиц.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5D438C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Срок оказания</w:t>
            </w:r>
          </w:p>
        </w:tc>
      </w:tr>
      <w:tr w:rsidR="005D438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tabs>
                <w:tab w:val="left" w:pos="486"/>
              </w:tabs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2 (двух) календарных дней со дня заключения Договора.</w:t>
            </w:r>
          </w:p>
        </w:tc>
      </w:tr>
      <w:tr w:rsidR="005D438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8:00 2 июня 2025 года до 18:00 11 июня 2025 года;</w:t>
            </w:r>
          </w:p>
        </w:tc>
      </w:tr>
      <w:tr w:rsidR="005D438C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8:00 18 июня 2025 года до 18:00 21 июня 2025 года;</w:t>
            </w:r>
          </w:p>
        </w:tc>
      </w:tr>
      <w:tr w:rsidR="005D438C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4.</w:t>
            </w:r>
            <w:r>
              <w:t xml:space="preserve">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8:00 22 июня 2025 года до 18:00 27 июня 2025 года. </w:t>
            </w:r>
          </w:p>
        </w:tc>
      </w:tr>
    </w:tbl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_______________ (_____________) рублей _________ копеек</w:t>
      </w:r>
      <w:r w:rsidRPr="002A5AEB">
        <w:rPr>
          <w:rFonts w:ascii="PT Astra Serif" w:hAnsi="PT Astra Serif"/>
          <w:sz w:val="24"/>
        </w:rPr>
        <w:t xml:space="preserve">, (в </w:t>
      </w:r>
      <w:proofErr w:type="spellStart"/>
      <w:r w:rsidRPr="002A5AEB">
        <w:rPr>
          <w:rFonts w:ascii="PT Astra Serif" w:hAnsi="PT Astra Serif"/>
          <w:sz w:val="24"/>
        </w:rPr>
        <w:t>т.ч</w:t>
      </w:r>
      <w:proofErr w:type="spellEnd"/>
      <w:r w:rsidRPr="002A5AEB">
        <w:rPr>
          <w:rFonts w:ascii="PT Astra Serif" w:hAnsi="PT Astra Serif"/>
          <w:sz w:val="24"/>
        </w:rPr>
        <w:t>. НДС __%/НДС не облагается).</w:t>
      </w:r>
    </w:p>
    <w:p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:rsidR="005D438C" w:rsidRPr="002A5AEB" w:rsidRDefault="0027196A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 xml:space="preserve">авансовый платеж 30% от стоимости Договора, что составляет: ______________ (_____________________) рублей ___ копеек, (в </w:t>
      </w:r>
      <w:proofErr w:type="spellStart"/>
      <w:r w:rsidRPr="002A5AEB">
        <w:rPr>
          <w:rFonts w:ascii="PT Astra Serif" w:hAnsi="PT Astra Serif"/>
          <w:sz w:val="24"/>
        </w:rPr>
        <w:t>т.ч</w:t>
      </w:r>
      <w:proofErr w:type="spellEnd"/>
      <w:r w:rsidRPr="002A5AEB">
        <w:rPr>
          <w:rFonts w:ascii="PT Astra Serif" w:hAnsi="PT Astra Serif"/>
          <w:sz w:val="24"/>
        </w:rPr>
        <w:t>. НДС __%/НДС не облагается). Заказчик производит оплату по соответствующему счету в течение 10 дней со дня заключения Договора.</w:t>
      </w:r>
    </w:p>
    <w:p w:rsidR="005D438C" w:rsidRPr="002A5AEB" w:rsidRDefault="0027196A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 xml:space="preserve">окончательный платеж в размере 70% от стоимости Договора, что составляет: </w:t>
      </w:r>
      <w:r w:rsidRPr="002A5AEB">
        <w:rPr>
          <w:rFonts w:ascii="PT Astra Serif" w:hAnsi="PT Astra Serif"/>
          <w:sz w:val="24"/>
        </w:rPr>
        <w:br/>
        <w:t xml:space="preserve">_________________ (________________) рублей ___ копеек, (в </w:t>
      </w:r>
      <w:proofErr w:type="spellStart"/>
      <w:r w:rsidRPr="002A5AEB">
        <w:rPr>
          <w:rFonts w:ascii="PT Astra Serif" w:hAnsi="PT Astra Serif"/>
          <w:sz w:val="24"/>
        </w:rPr>
        <w:t>т.ч</w:t>
      </w:r>
      <w:proofErr w:type="spellEnd"/>
      <w:r w:rsidRPr="002A5AEB">
        <w:rPr>
          <w:rFonts w:ascii="PT Astra Serif" w:hAnsi="PT Astra Serif"/>
          <w:sz w:val="24"/>
        </w:rPr>
        <w:t>. НДС __%/НДС не облагается).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4 июля 2025 года.</w:t>
      </w:r>
    </w:p>
    <w:p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4.4. 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Превышение Исполни</w:t>
      </w:r>
      <w:r>
        <w:rPr>
          <w:rFonts w:ascii="PT Astra Serif" w:hAnsi="PT Astra Serif"/>
          <w:sz w:val="24"/>
        </w:rPr>
        <w:t>телем объемов и стоимости работ/услуг выполняется Исполнителем за свой счет.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 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5D438C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Отчетная документация</w:t>
            </w:r>
          </w:p>
        </w:tc>
      </w:tr>
      <w:tr w:rsidR="005D438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3;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Вышеперечисленные документы в электронном виде передаются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с предоставлением ссылки для скачивания.</w:t>
            </w:r>
          </w:p>
        </w:tc>
      </w:tr>
      <w:tr w:rsidR="005D438C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2. Монтаж Выставочного стенда, включая внутреннее наполнение </w:t>
            </w:r>
            <w:r>
              <w:rPr>
                <w:rFonts w:ascii="PT Astra Serif" w:hAnsi="PT Astra Serif"/>
                <w:sz w:val="24"/>
                <w:szCs w:val="24"/>
              </w:rPr>
              <w:lastRenderedPageBreak/>
              <w:t>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lastRenderedPageBreak/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5D438C">
        <w:trPr>
          <w:trHeight w:val="1851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lastRenderedPageBreak/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5.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- описательный отчет о застройке и обслуживанию выставочной экспозиции в соответствии с техническим заданием, включающий фотоотчет по каждому дню Форума (не менее 10 фото Выставочной экспозиции ежедневно с разных ракурсов) в бумажном и в электронном виде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с предоставлением ссылки для скачивания.</w:t>
            </w:r>
          </w:p>
          <w:p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  <w:p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Исполнитель обеспечивает утилизацию бытовых и крупногабаритных твердых коммунальных отходов в соответствии с действующим законодательством. </w:t>
            </w:r>
          </w:p>
          <w:p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D438C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4. 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62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Оператору мероприятия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6.6. Все временные сооружения, конструкции и экспонаты должны размещаться только в границах отведенной для Заказчика необорудованной площади. Возведение временных сооружений должно осуществляться в строгом соответствии с нормами «Технических условий участия и требования для подрядных организаций, выполняющих проектные и строительно-монтажные работы в павильонах и на открытых площадях центральной площадки проведения ПМЭФ-2025» (КВЦ «ЭКСПОФОРУМ»). За нарушение Исполнителем данных обязанностей Заказчик вправе потребовать от Исполнителя уплаты штрафа в размере 30% от стоимости работ/услуг, в течение 5 дней с момента направления соответствующего требования. 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 В целях соблюдения законодательства о защите персональных данных Заказчик обязуется: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6.7.1.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6.4.1.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6.4.1.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6.8.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6.9.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6.10.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6.11.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Форума на неопределенный срок в связи с принятием акта органа государственной власти, решений правительства России, инструктивных </w:t>
      </w:r>
      <w:r>
        <w:rPr>
          <w:rFonts w:ascii="PT Astra Serif" w:hAnsi="PT Astra Serif"/>
          <w:sz w:val="24"/>
        </w:rPr>
        <w:lastRenderedPageBreak/>
        <w:t>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Форума по предусмотренным пунктом 7.2. обстоятельствам, на любой срок в течении текущего года, срок действия Договора продлевается, возврат денежных средств, полученных по Договору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отмены Форума в целом Исполнитель осуществляет возврат уплаченных денежных средств в соответствии с разделом 4 настоящего договора в течении 5 дней с момента получения соответствующего требования от Заказчика. Исполнитель вправе потребовать возмещения понесенных документально подтверждённых расходов на основании письменного требования, направленного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</w:t>
      </w:r>
    </w:p>
    <w:p w:rsidR="005D438C" w:rsidRDefault="005D438C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</w:rPr>
      </w:pPr>
    </w:p>
    <w:p w:rsidR="005D438C" w:rsidRDefault="0027196A">
      <w:pPr>
        <w:pStyle w:val="afc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:rsidR="005D438C" w:rsidRDefault="005D438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10.2. В случае </w:t>
      </w:r>
      <w:proofErr w:type="spellStart"/>
      <w:r>
        <w:rPr>
          <w:rFonts w:ascii="PT Astra Serif" w:hAnsi="PT Astra Serif"/>
          <w:sz w:val="24"/>
        </w:rPr>
        <w:t>недостижения</w:t>
      </w:r>
      <w:proofErr w:type="spellEnd"/>
      <w:r>
        <w:rPr>
          <w:rFonts w:ascii="PT Astra Serif" w:hAnsi="PT Astra Serif"/>
          <w:sz w:val="24"/>
        </w:rPr>
        <w:t xml:space="preserve">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:rsidR="005D438C" w:rsidRDefault="005D438C">
      <w:pPr>
        <w:pStyle w:val="afc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 xml:space="preserve"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</w:t>
      </w:r>
      <w:r>
        <w:rPr>
          <w:rFonts w:ascii="PT Astra Serif" w:hAnsi="PT Astra Serif"/>
          <w:spacing w:val="-2"/>
          <w:sz w:val="24"/>
        </w:rPr>
        <w:lastRenderedPageBreak/>
        <w:t>направления документа в электронном виде.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№1. </w:t>
      </w:r>
      <w:r>
        <w:rPr>
          <w:rFonts w:ascii="PT Astra Serif" w:hAnsi="PT Astra Serif"/>
          <w:sz w:val="24"/>
        </w:rPr>
        <w:t>Техническое задание Выставочной экспозиции на Петербургском Международном Экономическом Форуме 2025.</w:t>
      </w: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№2. Спецификация.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Приложения №№3-5.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:rsidR="005D438C" w:rsidRDefault="0027196A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№6. </w:t>
      </w:r>
      <w:r>
        <w:rPr>
          <w:rFonts w:ascii="PT Astra Serif" w:hAnsi="PT Astra Serif" w:cs="Arial"/>
          <w:color w:val="auto"/>
          <w:sz w:val="24"/>
          <w:szCs w:val="24"/>
        </w:rPr>
        <w:t>Акт приема выставочного оборудования.</w:t>
      </w:r>
    </w:p>
    <w:p w:rsidR="005D438C" w:rsidRDefault="0027196A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Приложение №7. Акт возврата выставочного оборудования.</w:t>
      </w:r>
    </w:p>
    <w:p w:rsidR="005D438C" w:rsidRDefault="005D438C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</w:p>
    <w:p w:rsidR="005D438C" w:rsidRDefault="005D438C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:rsidR="005D438C" w:rsidRDefault="005D438C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D438C">
        <w:trPr>
          <w:trHeight w:val="859"/>
        </w:trPr>
        <w:tc>
          <w:tcPr>
            <w:tcW w:w="4895" w:type="dxa"/>
          </w:tcPr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0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8" w:tooltip="mailto:info@mb71.ru" w:history="1">
              <w:r>
                <w:rPr>
                  <w:rStyle w:val="af5"/>
                  <w:rFonts w:ascii="PT Astra Serif" w:hAnsi="PT Astra Serif"/>
                  <w:sz w:val="24"/>
                </w:rPr>
                <w:t>info@mb71.ru</w:t>
              </w:r>
            </w:hyperlink>
          </w:p>
          <w:p w:rsidR="005D438C" w:rsidRDefault="005D438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_________________________________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места нахождения и почтовый адрес: </w:t>
            </w:r>
            <w:r>
              <w:rPr>
                <w:rFonts w:ascii="PT Astra Serif" w:hAnsi="PT Astra Serif"/>
                <w:sz w:val="24"/>
              </w:rPr>
              <w:br/>
              <w:t>_______________________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ИНН: ____________, КПП: ____________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ОГРН: __________________</w:t>
            </w:r>
          </w:p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____________________________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________________________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_________________</w:t>
            </w:r>
          </w:p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_____________________</w:t>
            </w:r>
          </w:p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</w:rPr>
              <w:t>: ______________________</w:t>
            </w:r>
          </w:p>
        </w:tc>
      </w:tr>
      <w:tr w:rsidR="005D438C">
        <w:trPr>
          <w:trHeight w:val="721"/>
        </w:trPr>
        <w:tc>
          <w:tcPr>
            <w:tcW w:w="4895" w:type="dxa"/>
          </w:tcPr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</w:t>
            </w:r>
          </w:p>
          <w:p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/_______________ / </w:t>
            </w:r>
          </w:p>
          <w:p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  <w:tc>
          <w:tcPr>
            <w:tcW w:w="5000" w:type="dxa"/>
          </w:tcPr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 ____________ /</w:t>
            </w:r>
            <w:bookmarkEnd w:id="0"/>
          </w:p>
        </w:tc>
      </w:tr>
    </w:tbl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</w:rPr>
        <w:lastRenderedPageBreak/>
        <w:t>Приложение №1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_____________ 2025 г.</w:t>
      </w:r>
    </w:p>
    <w:p w:rsidR="005D438C" w:rsidRDefault="005D438C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Техническое задание Выставочной экспозиции на Петербургском Международном Экономическом Форуме 2025.</w:t>
      </w:r>
    </w:p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Настоящее Техническое задание (далее – Техническое задание) определяет требования к выполнению комплекса работ/оказанию комплекса услуг по застройке и обслуживанию выставочной экспозиции Тульской области в рамках Петербургского Международного Экономического Форума 2025, который будет проходить с «18» по «21» июня 2025 года (включительно).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до «27» июня 2025 г. (включительно).</w:t>
      </w:r>
    </w:p>
    <w:p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Общая информация о Мероприятии: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Выставочная экспозиция располагается на территории КВЦ «</w:t>
      </w:r>
      <w:proofErr w:type="spellStart"/>
      <w:r>
        <w:rPr>
          <w:rFonts w:ascii="PT Astra Serif" w:hAnsi="PT Astra Serif"/>
          <w:sz w:val="24"/>
        </w:rPr>
        <w:t>Экспофорум</w:t>
      </w:r>
      <w:proofErr w:type="spellEnd"/>
      <w:r>
        <w:rPr>
          <w:rFonts w:ascii="PT Astra Serif" w:hAnsi="PT Astra Serif"/>
          <w:sz w:val="24"/>
        </w:rPr>
        <w:t xml:space="preserve">», павильон H, этаж 1, стенд № 26. Количество застраиваемой выставочной площади составляет 120 м кв. </w:t>
      </w:r>
    </w:p>
    <w:p w:rsidR="005D438C" w:rsidRDefault="0027196A" w:rsidP="002A5AE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Оператор Мероприятия – Фонд «</w:t>
      </w:r>
      <w:proofErr w:type="spellStart"/>
      <w:r>
        <w:rPr>
          <w:rFonts w:ascii="PT Astra Serif" w:hAnsi="PT Astra Serif"/>
          <w:sz w:val="24"/>
        </w:rPr>
        <w:t>Росконгресс</w:t>
      </w:r>
      <w:proofErr w:type="spellEnd"/>
      <w:r>
        <w:rPr>
          <w:rFonts w:ascii="PT Astra Serif" w:hAnsi="PT Astra Serif"/>
          <w:sz w:val="24"/>
        </w:rPr>
        <w:t>»;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Цели и задачи участия Заказчика в Мероприятии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Презентация инвестиционных возможностей Тульского региона, его социально-экономического и туристического потенциала.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Основные направления: промышленность и торговля, экономическое развитие, </w:t>
      </w:r>
      <w:proofErr w:type="spellStart"/>
      <w:r>
        <w:rPr>
          <w:rFonts w:ascii="PT Astra Serif" w:hAnsi="PT Astra Serif"/>
          <w:sz w:val="24"/>
        </w:rPr>
        <w:t>импортозамещение</w:t>
      </w:r>
      <w:proofErr w:type="spellEnd"/>
      <w:r>
        <w:rPr>
          <w:rFonts w:ascii="PT Astra Serif" w:hAnsi="PT Astra Serif"/>
          <w:sz w:val="24"/>
        </w:rPr>
        <w:t xml:space="preserve"> и экспорт, наука и </w:t>
      </w:r>
      <w:proofErr w:type="spellStart"/>
      <w:r>
        <w:rPr>
          <w:rFonts w:ascii="PT Astra Serif" w:hAnsi="PT Astra Serif"/>
          <w:sz w:val="24"/>
        </w:rPr>
        <w:t>инноватика</w:t>
      </w:r>
      <w:proofErr w:type="spellEnd"/>
      <w:r>
        <w:rPr>
          <w:rFonts w:ascii="PT Astra Serif" w:hAnsi="PT Astra Serif"/>
          <w:sz w:val="24"/>
        </w:rPr>
        <w:t>, туризм.</w:t>
      </w:r>
    </w:p>
    <w:p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План расположения выставочной экспозиции</w:t>
      </w: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Выставочная экспозиция Заказчика располагается в рамках «пятна» общей площадью 120 м кв. в павильон Н, стенд №26.</w:t>
      </w:r>
    </w:p>
    <w:p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  <w:r>
        <w:rPr>
          <w:rFonts w:ascii="PT Astra Serif" w:hAnsi="PT Astra Serif"/>
          <w:i/>
          <w:sz w:val="24"/>
        </w:rPr>
        <w:t>Рис. 1. План расположения Выставочной экспозиции</w:t>
      </w:r>
    </w:p>
    <w:p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  <w:sectPr w:rsidR="005D438C">
          <w:footerReference w:type="default" r:id="rId9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</w:p>
    <w:p w:rsidR="005D438C" w:rsidRDefault="005D438C">
      <w:pPr>
        <w:spacing w:after="0" w:line="240" w:lineRule="auto"/>
        <w:ind w:right="28"/>
        <w:rPr>
          <w:rFonts w:ascii="PT Astra Serif" w:hAnsi="PT Astra Serif"/>
          <w:b/>
          <w:sz w:val="24"/>
        </w:rPr>
      </w:pP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i/>
          <w:noProof/>
          <w:sz w:val="24"/>
        </w:rPr>
        <mc:AlternateContent>
          <mc:Choice Requires="wpg">
            <w:drawing>
              <wp:inline distT="0" distB="0" distL="0" distR="0">
                <wp:extent cx="8529698" cy="5343525"/>
                <wp:effectExtent l="0" t="0" r="5080" b="0"/>
                <wp:docPr id="1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8557162" cy="53607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671.63pt;height:420.75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Дизайн-проект выставочной экспозиции стенда Тульской области</w:t>
      </w: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6858915" cy="4838700"/>
                <wp:effectExtent l="0" t="0" r="0" b="0"/>
                <wp:docPr id="2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6868478" cy="48454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540.07pt;height:381.00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>
                <wp:extent cx="7372004" cy="5038725"/>
                <wp:effectExtent l="0" t="0" r="635" b="0"/>
                <wp:docPr id="3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7377939" cy="50427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580.47pt;height:396.75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C66457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C66457">
        <w:rPr>
          <w:rFonts w:ascii="PT Astra Serif" w:hAnsi="PT Astra Serif"/>
          <w:b/>
          <w:sz w:val="24"/>
        </w:rPr>
        <w:lastRenderedPageBreak/>
        <w:drawing>
          <wp:inline distT="0" distB="0" distL="0" distR="0" wp14:anchorId="4EB07CDE" wp14:editId="064C1D5F">
            <wp:extent cx="7846695" cy="5523913"/>
            <wp:effectExtent l="0" t="0" r="190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47516" cy="552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7821956" cy="5172075"/>
                <wp:effectExtent l="0" t="0" r="7620" b="0"/>
                <wp:docPr id="6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7830295" cy="51775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615.90pt;height:407.25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7470406" cy="5029200"/>
                <wp:effectExtent l="0" t="0" r="0" b="0"/>
                <wp:docPr id="7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7475000" cy="503229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588.22pt;height:396.00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7357218" cy="4953000"/>
                <wp:effectExtent l="0" t="0" r="0" b="0"/>
                <wp:docPr id="8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7365845" cy="49588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579.31pt;height:390.00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7635813" cy="4695825"/>
                <wp:effectExtent l="0" t="0" r="3810" b="0"/>
                <wp:docPr id="9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7643694" cy="47006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601.25pt;height:369.75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</w:p>
    <w:p w:rsidR="005D438C" w:rsidRDefault="00C66457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C66457">
        <w:rPr>
          <w:rFonts w:ascii="PT Astra Serif" w:hAnsi="PT Astra Serif"/>
          <w:b/>
          <w:sz w:val="24"/>
        </w:rPr>
        <w:lastRenderedPageBreak/>
        <w:drawing>
          <wp:inline distT="0" distB="0" distL="0" distR="0" wp14:anchorId="0F8E418A" wp14:editId="7D7A6756">
            <wp:extent cx="8117840" cy="57363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121181" cy="573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457" w:rsidRDefault="00C66457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C66457">
        <w:rPr>
          <w:rFonts w:ascii="PT Astra Serif" w:hAnsi="PT Astra Serif"/>
          <w:b/>
          <w:sz w:val="24"/>
        </w:rPr>
        <w:lastRenderedPageBreak/>
        <w:drawing>
          <wp:inline distT="0" distB="0" distL="0" distR="0" wp14:anchorId="6CE5A2CA" wp14:editId="56D98878">
            <wp:extent cx="8083550" cy="572190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085548" cy="5723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>
            <wp:extent cx="7704190" cy="5267325"/>
            <wp:effectExtent l="0" t="0" r="0" b="0"/>
            <wp:docPr id="1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/>
                  </pic:blipFill>
                  <pic:spPr bwMode="auto">
                    <a:xfrm>
                      <a:off x="0" y="0"/>
                      <a:ext cx="7715362" cy="527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p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3014"/>
        <w:gridCol w:w="11666"/>
      </w:tblGrid>
      <w:tr w:rsidR="005D438C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</w:tcPr>
          <w:p w:rsidR="005D438C" w:rsidRDefault="005D438C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5D438C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  <w:r>
              <w:rPr>
                <w:rFonts w:ascii="Times New Roman" w:hAnsi="Times New Roman"/>
                <w:color w:val="auto"/>
                <w:sz w:val="20"/>
              </w:rPr>
              <w:t>1.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Разработка проектно-технической документации</w:t>
            </w:r>
          </w:p>
        </w:tc>
      </w:tr>
      <w:tr w:rsidR="005D438C">
        <w:trPr>
          <w:trHeight w:val="1701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 проектно- технической документации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соответствие внешнего вида выставочной экспозиции дизайн-макету, предоставленному Заказчиком;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согласование и контроль проектно-технической документации с Оператором Мероприятия;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получение разрешительных документов от специалистов по противопожарной безопасности;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подготовку документов для аккредитации и прохождения технического контроля;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при необходимости углубления основания конструкций исполнитель самостоятельно предварительно согласовывает эти работы с необходимыми инженерными сетями и службами.</w:t>
            </w:r>
          </w:p>
        </w:tc>
      </w:tr>
      <w:tr w:rsidR="005D438C">
        <w:trPr>
          <w:trHeight w:val="567"/>
        </w:trPr>
        <w:tc>
          <w:tcPr>
            <w:tcW w:w="766" w:type="dxa"/>
            <w:shd w:val="clear" w:color="auto" w:fill="auto"/>
            <w:noWrap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1.1.1.</w:t>
            </w:r>
          </w:p>
        </w:tc>
        <w:tc>
          <w:tcPr>
            <w:tcW w:w="3014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 документации</w:t>
            </w:r>
          </w:p>
        </w:tc>
        <w:tc>
          <w:tcPr>
            <w:tcW w:w="11666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проектная документация;</w:t>
            </w:r>
          </w:p>
        </w:tc>
      </w:tr>
      <w:tr w:rsidR="005D438C">
        <w:trPr>
          <w:trHeight w:val="567"/>
        </w:trPr>
        <w:tc>
          <w:tcPr>
            <w:tcW w:w="766" w:type="dxa"/>
            <w:shd w:val="clear" w:color="auto" w:fill="auto"/>
            <w:noWrap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1.1.2.</w:t>
            </w:r>
          </w:p>
        </w:tc>
        <w:tc>
          <w:tcPr>
            <w:tcW w:w="3014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11666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документация;</w:t>
            </w:r>
          </w:p>
        </w:tc>
      </w:tr>
      <w:tr w:rsidR="005D438C">
        <w:trPr>
          <w:trHeight w:val="567"/>
        </w:trPr>
        <w:tc>
          <w:tcPr>
            <w:tcW w:w="766" w:type="dxa"/>
            <w:shd w:val="clear" w:color="auto" w:fill="auto"/>
            <w:noWrap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1.1.3.</w:t>
            </w:r>
          </w:p>
        </w:tc>
        <w:tc>
          <w:tcPr>
            <w:tcW w:w="3014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11666" w:type="dxa"/>
            <w:shd w:val="clear" w:color="auto" w:fill="auto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 электроснабжения выставочной экспозиции.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проекту: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предусмотреть не менее 2 точек для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электроподключения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до 30 кВт и одной точки до 20 кВт потребления каждая, оборудованных раздаточными временными электрощитами (380/220V), оснащенными автоматами защиты, вводными автоматами, магнитными пускателями, устройствами защитного отключения (УЗО) и т.д. Розеточная сеть прокладывается скрытым способом, количество устанавливаемых розеток, 20 шт. места установки согласовываются с заказчиком.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Необходимо обеспечить подключение и бесперебойное электроснабжение потребителей (освещение,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электророзетки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мультимедийное оборудование, техническое оборудование </w:t>
            </w:r>
            <w:proofErr w:type="spellStart"/>
            <w:r>
              <w:rPr>
                <w:rFonts w:ascii="Times New Roman" w:hAnsi="Times New Roman"/>
                <w:sz w:val="20"/>
              </w:rPr>
              <w:t>кейтеринга</w:t>
            </w:r>
            <w:proofErr w:type="spellEnd"/>
            <w:r>
              <w:rPr>
                <w:rFonts w:ascii="Times New Roman" w:hAnsi="Times New Roman"/>
                <w:sz w:val="20"/>
              </w:rPr>
              <w:t>, кондиционирования и т.д.) суммарной потребляемой мощностью не менее 80 кВт (с учетом требований по прохождению процедуры контроля качества электромонтажных работ методом замеров в соответствии с требованиями площадки ПМЭФ 2025 и Фонда «</w:t>
            </w:r>
            <w:proofErr w:type="spellStart"/>
            <w:r>
              <w:rPr>
                <w:rFonts w:ascii="Times New Roman" w:hAnsi="Times New Roman"/>
                <w:sz w:val="20"/>
              </w:rPr>
              <w:t>Росконгресс</w:t>
            </w:r>
            <w:proofErr w:type="spellEnd"/>
            <w:r>
              <w:rPr>
                <w:rFonts w:ascii="Times New Roman" w:hAnsi="Times New Roman"/>
                <w:sz w:val="20"/>
              </w:rPr>
              <w:t>»).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Схема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D438C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 xml:space="preserve">Монтаж Выставочного стенда, включая внутреннее наполнение Выставочной экспозиции, </w:t>
            </w:r>
            <w:proofErr w:type="spellStart"/>
            <w:r>
              <w:rPr>
                <w:rFonts w:ascii="Times New Roman" w:hAnsi="Times New Roman"/>
                <w:b/>
                <w:bCs/>
                <w:sz w:val="20"/>
              </w:rPr>
              <w:t>аккредитационные</w:t>
            </w:r>
            <w:proofErr w:type="spellEnd"/>
            <w:r>
              <w:rPr>
                <w:rFonts w:ascii="Times New Roman" w:hAnsi="Times New Roman"/>
                <w:b/>
                <w:bCs/>
                <w:sz w:val="20"/>
              </w:rPr>
              <w:t xml:space="preserve"> расходы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</w:tr>
      <w:tr w:rsidR="005D438C">
        <w:trPr>
          <w:trHeight w:val="1778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Выставочного стенда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Застраиваемая площадь 120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зона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>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подписания соглашений;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открытая </w:t>
            </w:r>
            <w:proofErr w:type="spellStart"/>
            <w:r>
              <w:rPr>
                <w:rFonts w:ascii="Times New Roman" w:hAnsi="Times New Roman"/>
                <w:sz w:val="20"/>
              </w:rPr>
              <w:t>лаунж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зона для B2B переговоров;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закрытая переговорная комната (не менее 20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>.);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презентации инвестиционных проектов;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выдачи напитков (барная стойка);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техническое помещение;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-зона активности.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4500 мм. Толщина стен не менее 120 мм. Готовые стены обшиваются тканью </w:t>
            </w:r>
            <w:r>
              <w:rPr>
                <w:rFonts w:ascii="Times New Roman" w:hAnsi="Times New Roman"/>
                <w:sz w:val="20"/>
                <w:lang w:val="en-US"/>
              </w:rPr>
              <w:t>DESKOR</w:t>
            </w:r>
            <w:r>
              <w:rPr>
                <w:rFonts w:ascii="Times New Roman" w:hAnsi="Times New Roman"/>
                <w:sz w:val="20"/>
              </w:rPr>
              <w:t xml:space="preserve"> с печатью.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оформлении выставочного стенда должны быть использованы эксклюзивные декоративные элементы стен (каркасы из сварного алюминиевого профиля под порошковую покраску, перфорированные алюминиевые панели, гипсовые 3Д-панели под имитацию натурального камня, панели из стабилизированного мха по дизайн-проекту), в сочетании с световыми элементами.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Выставочный стенд должен быть оснащен современным электрическим, световым, мультимедийным, аудио-оборудованием. Тип освещения и места установки согласовываются с Заказчиком.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Следует предусмотреть и организовать не менее 1точки подвода (подключения) и дренажа (слива) воды с возможностью обеспечения водоснабжением и канализацией технологического оборудования </w:t>
            </w:r>
            <w:proofErr w:type="spellStart"/>
            <w:r>
              <w:rPr>
                <w:rFonts w:ascii="Times New Roman" w:hAnsi="Times New Roman"/>
                <w:sz w:val="20"/>
              </w:rPr>
              <w:t>кейтеринга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закрытой переговорной должно быть предусмотрено подключение к </w:t>
            </w:r>
            <w:r w:rsidR="0013316D">
              <w:rPr>
                <w:rFonts w:ascii="Times New Roman" w:hAnsi="Times New Roman"/>
                <w:sz w:val="20"/>
              </w:rPr>
              <w:t xml:space="preserve">прямому </w:t>
            </w:r>
            <w:r>
              <w:rPr>
                <w:rFonts w:ascii="Times New Roman" w:hAnsi="Times New Roman"/>
                <w:sz w:val="20"/>
              </w:rPr>
              <w:t>телевещанию ПМЭФ 2025 с возможностью видеотрансляции на экран пленарного заседания и секционных заседаний</w:t>
            </w:r>
            <w:r w:rsidR="0013316D">
              <w:rPr>
                <w:rFonts w:ascii="Times New Roman" w:hAnsi="Times New Roman"/>
                <w:sz w:val="20"/>
              </w:rPr>
              <w:t>, а также подключение к ТВ-каналу «Россия 24»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Подиум застилается напольным покрытием рифлёный алюминиевый лист. Обязательно применение напольных </w:t>
            </w:r>
            <w:proofErr w:type="spellStart"/>
            <w:r>
              <w:rPr>
                <w:rFonts w:ascii="Times New Roman" w:hAnsi="Times New Roman"/>
                <w:sz w:val="20"/>
              </w:rPr>
              <w:t>подиумных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Подвесная конструкция с надписями в соответствии с разработанным проектом и концепцией стенда. Текст надписей согласовывается с Заказчиком, размер не менее 2000 мм в длину, не менее 500мм в высоту, не менее 100 мм толщиной, всего не менее 1 шт.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и снаружи обшиваются тканью </w:t>
            </w:r>
            <w:r>
              <w:rPr>
                <w:rFonts w:ascii="Times New Roman" w:hAnsi="Times New Roman"/>
                <w:sz w:val="20"/>
                <w:lang w:val="en-US"/>
              </w:rPr>
              <w:t>DESKOR</w:t>
            </w:r>
            <w:r>
              <w:rPr>
                <w:rFonts w:ascii="Times New Roman" w:hAnsi="Times New Roman"/>
                <w:sz w:val="20"/>
              </w:rPr>
              <w:t xml:space="preserve"> с нанесением печатных материалов в соответствии с согласованным дизайн-проектом. Плотность полотна должна быть не ниже 300 гр. на 1 м кв. с качеством печати не менее 360 </w:t>
            </w:r>
            <w:proofErr w:type="spellStart"/>
            <w:r>
              <w:rPr>
                <w:rFonts w:ascii="Times New Roman" w:hAnsi="Times New Roman"/>
                <w:sz w:val="20"/>
              </w:rPr>
              <w:t>dpi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зоне </w:t>
            </w:r>
            <w:proofErr w:type="spellStart"/>
            <w:r>
              <w:rPr>
                <w:rFonts w:ascii="Times New Roman" w:hAnsi="Times New Roman"/>
                <w:sz w:val="20"/>
                <w:u w:val="single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устанавливается стойка с двумя барными стульями.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зоне подписания соглашений</w:t>
            </w:r>
            <w:r>
              <w:rPr>
                <w:rFonts w:ascii="Times New Roman" w:hAnsi="Times New Roman"/>
                <w:sz w:val="20"/>
              </w:rPr>
              <w:t xml:space="preserve"> устанавливается светодиодный экран для трансляции видеороликов о Тульской области и заставок во время подписаний. Перед экраном должна быть предусмотрена установка трех стоек для подписантов с микрофонами. Стойки должны быть мобильны и в случае необходимости (двухстороннее подписание) предусмотрена возможность быстрого демонтажа одной.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Стойки должны быть стилизованными под </w:t>
            </w:r>
            <w:r w:rsidR="0013316D">
              <w:rPr>
                <w:rFonts w:ascii="Times New Roman" w:hAnsi="Times New Roman"/>
                <w:sz w:val="20"/>
              </w:rPr>
              <w:t>«</w:t>
            </w:r>
            <w:r>
              <w:rPr>
                <w:rFonts w:ascii="Times New Roman" w:hAnsi="Times New Roman"/>
                <w:sz w:val="20"/>
              </w:rPr>
              <w:t>наковальни</w:t>
            </w:r>
            <w:r w:rsidR="0013316D">
              <w:rPr>
                <w:rFonts w:ascii="Times New Roman" w:hAnsi="Times New Roman"/>
                <w:sz w:val="20"/>
              </w:rPr>
              <w:t>»</w:t>
            </w:r>
            <w:r>
              <w:rPr>
                <w:rFonts w:ascii="Times New Roman" w:hAnsi="Times New Roman"/>
                <w:sz w:val="20"/>
              </w:rPr>
              <w:t>. Слева и справа от экрана устанавливается декоративный каркас из алюминиевого профиля под порошковую покраску, стилизованный под технологическую конструкцию. Размеры экрана: фактический размер: 6х4 метра, разрешение: 2304х1536 пикселя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открытой </w:t>
            </w:r>
            <w:proofErr w:type="spellStart"/>
            <w:r>
              <w:rPr>
                <w:rFonts w:ascii="Times New Roman" w:hAnsi="Times New Roman"/>
                <w:sz w:val="20"/>
                <w:u w:val="single"/>
              </w:rPr>
              <w:t>лаунж</w:t>
            </w:r>
            <w:proofErr w:type="spellEnd"/>
            <w:r>
              <w:rPr>
                <w:rFonts w:ascii="Times New Roman" w:hAnsi="Times New Roman"/>
                <w:sz w:val="20"/>
                <w:u w:val="single"/>
              </w:rPr>
              <w:t xml:space="preserve"> зоне для B2B переговоров</w:t>
            </w:r>
            <w:r>
              <w:rPr>
                <w:rFonts w:ascii="Times New Roman" w:hAnsi="Times New Roman"/>
                <w:sz w:val="20"/>
              </w:rPr>
              <w:t xml:space="preserve"> устанавливаются квадратные столы, 4 шт., кресла, 8 шт.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закрытой переговорной комнате</w:t>
            </w:r>
            <w:r>
              <w:rPr>
                <w:rFonts w:ascii="Times New Roman" w:hAnsi="Times New Roman"/>
                <w:sz w:val="20"/>
              </w:rPr>
              <w:t xml:space="preserve"> должен быть установлен стол для переговоров на 8 человек с креслами с подлокотниками на колесиках или полозьях, зеркало, 1 шт., 1 тумба с дверцами, запираемыми для сувенирной продукции, ЖК ТВ с диагональю 65 дюймов, 1 напольная вешалка. Внутри переговорной комнаты должен быть предусмотрен подшивной потолок, качественная дизайнерская отделка, декоративная светодиодная подсветка, световые логотипы «ТУЛА», «Тульская область» и герб региона, 1 шт. каждого вида; </w:t>
            </w:r>
            <w:proofErr w:type="gramStart"/>
            <w:r>
              <w:rPr>
                <w:rFonts w:ascii="Times New Roman" w:hAnsi="Times New Roman"/>
                <w:sz w:val="20"/>
              </w:rPr>
              <w:t>В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закрытой переговорной комнате произвести монтаж и демонтаж кондиционера.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зоне презентации инвестиционных проектов </w:t>
            </w:r>
            <w:r>
              <w:rPr>
                <w:rFonts w:ascii="Times New Roman" w:hAnsi="Times New Roman"/>
                <w:sz w:val="20"/>
              </w:rPr>
              <w:t>устанавливается угловой светодиодный экран для трансляции видеороликов об инвестиционных проектах Тульской области. Размеры экрана: фактический: 6х2 м, разрешение: 2304х768 пикселей.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данной зоне также устанавливается </w:t>
            </w:r>
            <w:r w:rsidR="0013316D">
              <w:rPr>
                <w:rFonts w:ascii="Times New Roman" w:hAnsi="Times New Roman"/>
                <w:sz w:val="20"/>
              </w:rPr>
              <w:t>«</w:t>
            </w:r>
            <w:proofErr w:type="spellStart"/>
            <w:r>
              <w:rPr>
                <w:rFonts w:ascii="Times New Roman" w:hAnsi="Times New Roman"/>
                <w:sz w:val="20"/>
              </w:rPr>
              <w:t>роборука</w:t>
            </w:r>
            <w:proofErr w:type="spellEnd"/>
            <w:r w:rsidR="0013316D">
              <w:rPr>
                <w:rFonts w:ascii="Times New Roman" w:hAnsi="Times New Roman"/>
                <w:sz w:val="20"/>
              </w:rPr>
              <w:t>»</w:t>
            </w:r>
            <w:r>
              <w:rPr>
                <w:rFonts w:ascii="Times New Roman" w:hAnsi="Times New Roman"/>
                <w:sz w:val="20"/>
              </w:rPr>
              <w:t xml:space="preserve">. Вокруг стойки с </w:t>
            </w:r>
            <w:proofErr w:type="spellStart"/>
            <w:r>
              <w:rPr>
                <w:rFonts w:ascii="Times New Roman" w:hAnsi="Times New Roman"/>
                <w:sz w:val="20"/>
              </w:rPr>
              <w:t>роборукой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устанавливается кольцевая дорога, по которой в одном направлении будут двигаться машинки, изготовленные на 3</w:t>
            </w:r>
            <w:r>
              <w:rPr>
                <w:rFonts w:ascii="Times New Roman" w:hAnsi="Times New Roman"/>
                <w:sz w:val="20"/>
                <w:lang w:val="en-US"/>
              </w:rPr>
              <w:t>D</w:t>
            </w:r>
            <w:r>
              <w:rPr>
                <w:rFonts w:ascii="Times New Roman" w:hAnsi="Times New Roman"/>
                <w:sz w:val="20"/>
              </w:rPr>
              <w:t xml:space="preserve">-принтере (количество машинок под макет и передачу посетителям: 125 шт.). Макет предоставляется </w:t>
            </w:r>
            <w:proofErr w:type="gramStart"/>
            <w:r>
              <w:rPr>
                <w:rFonts w:ascii="Times New Roman" w:hAnsi="Times New Roman"/>
                <w:sz w:val="20"/>
              </w:rPr>
              <w:t>Заказчиком..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Рядом с подиумом с </w:t>
            </w:r>
            <w:proofErr w:type="spellStart"/>
            <w:r>
              <w:rPr>
                <w:rFonts w:ascii="Times New Roman" w:hAnsi="Times New Roman"/>
                <w:sz w:val="20"/>
              </w:rPr>
              <w:t>роборукой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</w:t>
            </w:r>
            <w:r w:rsidR="0013316D">
              <w:rPr>
                <w:rFonts w:ascii="Times New Roman" w:hAnsi="Times New Roman"/>
                <w:sz w:val="20"/>
              </w:rPr>
              <w:t>анавливается стойка с машинками, с которой, при нажатии кнопки, размещенной на тумбе, они перемещаются и передаются посетителям стенда</w:t>
            </w:r>
            <w:r>
              <w:rPr>
                <w:rFonts w:ascii="Times New Roman" w:hAnsi="Times New Roman"/>
                <w:sz w:val="20"/>
              </w:rPr>
              <w:t xml:space="preserve">. Стойка под </w:t>
            </w:r>
            <w:proofErr w:type="spellStart"/>
            <w:r>
              <w:rPr>
                <w:rFonts w:ascii="Times New Roman" w:hAnsi="Times New Roman"/>
                <w:sz w:val="20"/>
              </w:rPr>
              <w:t>роборуку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устанавл</w:t>
            </w:r>
            <w:r w:rsidR="0013316D">
              <w:rPr>
                <w:rFonts w:ascii="Times New Roman" w:hAnsi="Times New Roman"/>
                <w:sz w:val="20"/>
              </w:rPr>
              <w:t>ивается с учетом подвижного эле</w:t>
            </w:r>
            <w:r>
              <w:rPr>
                <w:rFonts w:ascii="Times New Roman" w:hAnsi="Times New Roman"/>
                <w:sz w:val="20"/>
              </w:rPr>
              <w:t xml:space="preserve">мента (подшипник, двигатель, шестеренка, контроллер).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барной зоне</w:t>
            </w:r>
            <w:r>
              <w:rPr>
                <w:rFonts w:ascii="Times New Roman" w:hAnsi="Times New Roman"/>
                <w:sz w:val="20"/>
              </w:rPr>
              <w:t xml:space="preserve"> устанавливается фактурная барная стойка (имитация камня) с 3 декоративными светильниками и барными стульями (5 шт.).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техническом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оборудование для управления и трансляции видеороликов на светодиодные экраны, МФУ:1 шт., рабочий стол: 1 шт., стеллаж для оборудования: 2 шт., электрические щиты.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подсобном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холодильник с морозильной камерой, 1 шт. объемом не менее 200л, кулер: 1 шт., рабочий стол для нарезки: 1 шт., стеллаж для посуды и продуктов: 4 шт.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</w:tr>
      <w:tr w:rsidR="005D438C">
        <w:trPr>
          <w:trHeight w:val="913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Барная стойка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монтируется барная стойка из каркаса с обшивкой декоративным пластиком или покраской в соответствии с дизайн-проектом. К данной стойке крепится каркас для образования рабочего места, с покрытием столешницы. Цвет отделки данной стойки согласуется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vMerge/>
            <w:vAlign w:val="center"/>
          </w:tcPr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Барные стулья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Высота: 90 см, количество: 5 шт. Цвет и форма согласовываются отдельно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с морозильной камерой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объемом не менее 200 л.</w:t>
            </w:r>
          </w:p>
        </w:tc>
      </w:tr>
      <w:tr w:rsidR="005D438C">
        <w:trPr>
          <w:trHeight w:val="720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напольный с функцией охлаждения и нагрева</w:t>
            </w:r>
          </w:p>
        </w:tc>
      </w:tr>
      <w:tr w:rsidR="005D438C">
        <w:trPr>
          <w:trHeight w:val="720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Бутылки с питьевой водой объемом 19 л.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бутылки объемом 19л.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2.2.4.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МФУ лазерный, печать: цветная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 формат А4, с комплектом картриджей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2.2.5.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  <w:lang w:val="en-US"/>
              </w:rPr>
            </w:pPr>
            <w:r>
              <w:rPr>
                <w:rFonts w:ascii="Times New Roman" w:hAnsi="Times New Roman"/>
                <w:sz w:val="20"/>
              </w:rPr>
              <w:t>Колонка</w:t>
            </w:r>
            <w:r>
              <w:rPr>
                <w:rFonts w:ascii="Times New Roman" w:hAnsi="Times New Roman"/>
                <w:sz w:val="20"/>
                <w:lang w:val="en-US"/>
              </w:rPr>
              <w:t xml:space="preserve"> LD Systems MAUI P900 B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(2 комп.)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Активная АС 1400 Вт, 42 Гц - 20 кГц, 121 ДБ,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динамики: 2х10" 16х2,8" 32х1" Габариты </w:t>
            </w:r>
            <w:proofErr w:type="spellStart"/>
            <w:r>
              <w:rPr>
                <w:rFonts w:ascii="Times New Roman" w:hAnsi="Times New Roman"/>
                <w:sz w:val="20"/>
              </w:rPr>
              <w:t>сббуфера</w:t>
            </w:r>
            <w:proofErr w:type="spellEnd"/>
            <w:r>
              <w:rPr>
                <w:rFonts w:ascii="Times New Roman" w:hAnsi="Times New Roman"/>
                <w:sz w:val="20"/>
              </w:rPr>
              <w:t>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400х 745 х 470 мм., габариты сателлита: 157 х 1428 х 91 мм.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Вес: 46 кг. Цвет: серый.</w:t>
            </w:r>
          </w:p>
        </w:tc>
      </w:tr>
      <w:tr w:rsidR="005D438C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2.2.6.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Комплект светодиодных экранов 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Светодиодные экраны состоят из блоков размером 500х</w:t>
            </w:r>
            <w:proofErr w:type="gramStart"/>
            <w:r>
              <w:rPr>
                <w:rFonts w:ascii="Times New Roman" w:hAnsi="Times New Roman"/>
                <w:sz w:val="20"/>
              </w:rPr>
              <w:t xml:space="preserve">500,   </w:t>
            </w:r>
            <w:proofErr w:type="gramEnd"/>
            <w:r>
              <w:rPr>
                <w:rFonts w:ascii="Times New Roman" w:hAnsi="Times New Roman"/>
                <w:sz w:val="20"/>
              </w:rPr>
              <w:t>150 штук (на два экрана)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Частота обновления 3840гц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Обслуживание модулей Фронтальное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Шаг пикселя не более 2,6 мм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Яркость (кд/м2) 1000 кд\м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Контрастность 1000:1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Угол обзора 160°</w:t>
            </w:r>
            <w:r>
              <w:rPr>
                <w:rFonts w:ascii="Times New Roman" w:hAnsi="Times New Roman"/>
                <w:sz w:val="20"/>
              </w:rPr>
              <w:br/>
              <w:t>Интерфейсы (</w:t>
            </w:r>
            <w:proofErr w:type="spellStart"/>
            <w:r>
              <w:rPr>
                <w:rFonts w:ascii="Times New Roman" w:hAnsi="Times New Roman"/>
                <w:sz w:val="20"/>
              </w:rPr>
              <w:t>Input</w:t>
            </w:r>
            <w:proofErr w:type="spellEnd"/>
            <w:r>
              <w:rPr>
                <w:rFonts w:ascii="Times New Roman" w:hAnsi="Times New Roman"/>
                <w:sz w:val="20"/>
              </w:rPr>
              <w:t>) 1 x HDMI (</w:t>
            </w:r>
            <w:proofErr w:type="spellStart"/>
            <w:r>
              <w:rPr>
                <w:rFonts w:ascii="Times New Roman" w:hAnsi="Times New Roman"/>
                <w:sz w:val="20"/>
              </w:rPr>
              <w:t>In</w:t>
            </w:r>
            <w:proofErr w:type="spellEnd"/>
            <w:r>
              <w:rPr>
                <w:rFonts w:ascii="Times New Roman" w:hAnsi="Times New Roman"/>
                <w:sz w:val="20"/>
              </w:rPr>
              <w:t>) / 1 x HDMI ARC</w:t>
            </w:r>
            <w:r>
              <w:rPr>
                <w:rFonts w:ascii="Times New Roman" w:hAnsi="Times New Roman"/>
                <w:sz w:val="20"/>
              </w:rPr>
              <w:br/>
              <w:t>Интерфейсы (</w:t>
            </w:r>
            <w:proofErr w:type="spellStart"/>
            <w:r>
              <w:rPr>
                <w:rFonts w:ascii="Times New Roman" w:hAnsi="Times New Roman"/>
                <w:sz w:val="20"/>
              </w:rPr>
              <w:t>Output</w:t>
            </w:r>
            <w:proofErr w:type="spellEnd"/>
            <w:r>
              <w:rPr>
                <w:rFonts w:ascii="Times New Roman" w:hAnsi="Times New Roman"/>
                <w:sz w:val="20"/>
              </w:rPr>
              <w:t>) HDMI (</w:t>
            </w:r>
            <w:proofErr w:type="spellStart"/>
            <w:r>
              <w:rPr>
                <w:rFonts w:ascii="Times New Roman" w:hAnsi="Times New Roman"/>
                <w:sz w:val="20"/>
              </w:rPr>
              <w:t>Out</w:t>
            </w:r>
            <w:proofErr w:type="spellEnd"/>
            <w:r>
              <w:rPr>
                <w:rFonts w:ascii="Times New Roman" w:hAnsi="Times New Roman"/>
                <w:sz w:val="20"/>
              </w:rPr>
              <w:t>)</w:t>
            </w:r>
            <w:r>
              <w:rPr>
                <w:rFonts w:ascii="Times New Roman" w:hAnsi="Times New Roman"/>
                <w:sz w:val="20"/>
              </w:rPr>
              <w:br/>
              <w:t>Энергопотребление (максимальное) одного модуля не более 452 Вт.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зоне подписания соглашений устанавливается светодиодный экран для трансляции видеороликов о Тульской области и заставок во время </w:t>
            </w:r>
            <w:proofErr w:type="gramStart"/>
            <w:r>
              <w:rPr>
                <w:rFonts w:ascii="Times New Roman" w:hAnsi="Times New Roman"/>
                <w:sz w:val="20"/>
              </w:rPr>
              <w:t>подписаний..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Размеры экрана: 6х4м.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презентации инвестиционных проектов</w:t>
            </w:r>
            <w:r>
              <w:rPr>
                <w:rFonts w:ascii="Times New Roman" w:hAnsi="Times New Roman"/>
                <w:sz w:val="20"/>
                <w:u w:val="single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устанавливается светодиодный экран с радиусным углом для трансляции видеороликов об инвестиционных проектах Тульской области. Размеры экрана: 6х2м.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2.2.7.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Контролер LED-экрана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штук. Контроллер должен быть сопряжен с размещенным на стенде LED-экраном. Подключение, настройка осуществляется Исполнителем</w:t>
            </w:r>
          </w:p>
        </w:tc>
      </w:tr>
      <w:tr w:rsidR="005D438C">
        <w:trPr>
          <w:trHeight w:val="561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2.2.8.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 для переговоров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 стола: ширина не менее 1200 мм, длина не менее 3800 мм, высота не менее 750 мм</w:t>
            </w:r>
            <w:r>
              <w:rPr>
                <w:rFonts w:ascii="Times New Roman" w:hAnsi="Times New Roman"/>
                <w:sz w:val="20"/>
              </w:rPr>
              <w:br/>
              <w:t>1 шт. Материал: ЛДСП с текстурой дерева,  Цвет: белый или кремовый. Цвет и форма согласовываются отдельно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2.2.9.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Кресла рабочие для закрытой переговорной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8 шт. Обивка и материал: искусственная кожа, цвет белый или кремовый. На колесиках или полозьях. Цвет и форма согласовываются отдельно с Заказчиком</w:t>
            </w:r>
          </w:p>
        </w:tc>
      </w:tr>
      <w:tr w:rsidR="005D438C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2.2.10.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Ноутбук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Количество: 3 шт. Год выпуска не ранее 2019 года, оперативная память не менее 4 Гб, жесткий диск не менее 250 Гб, USB-порт не менее 2 шт., обеспечена возможность подключения к высокоскоростному Интернет-соединению со скоростью не менее 50 Мбит/сек.)</w:t>
            </w:r>
          </w:p>
        </w:tc>
      </w:tr>
      <w:tr w:rsidR="005D438C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2.2.11.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Кондиционер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  <w:r>
              <w:rPr>
                <w:rFonts w:ascii="Times New Roman" w:hAnsi="Times New Roman"/>
                <w:color w:val="auto"/>
                <w:sz w:val="20"/>
              </w:rPr>
              <w:t xml:space="preserve">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Основные режимы работы кондиционера – охлаждение и обогрев; </w:t>
            </w:r>
            <w:r>
              <w:rPr>
                <w:rFonts w:ascii="Times New Roman" w:hAnsi="Times New Roman"/>
                <w:sz w:val="20"/>
              </w:rPr>
              <w:br/>
              <w:t xml:space="preserve">- мощность в режиме охлаждения - не менее 16 кВт; </w:t>
            </w:r>
            <w:r>
              <w:rPr>
                <w:rFonts w:ascii="Times New Roman" w:hAnsi="Times New Roman"/>
                <w:sz w:val="20"/>
              </w:rPr>
              <w:br/>
              <w:t xml:space="preserve">- потребляемая мощность при охлаждении – не более 6,8 кВт.; </w:t>
            </w:r>
            <w:r>
              <w:rPr>
                <w:rFonts w:ascii="Times New Roman" w:hAnsi="Times New Roman"/>
                <w:sz w:val="20"/>
              </w:rPr>
              <w:br/>
              <w:t>- уровень шума, дБ(А) – до 60;</w:t>
            </w:r>
            <w:r>
              <w:rPr>
                <w:rFonts w:ascii="Times New Roman" w:hAnsi="Times New Roman"/>
                <w:sz w:val="20"/>
              </w:rPr>
              <w:br/>
              <w:t>- обслуживаемая площадь – не менее 30 м кв.;</w:t>
            </w:r>
            <w:r>
              <w:rPr>
                <w:rFonts w:ascii="Times New Roman" w:hAnsi="Times New Roman"/>
                <w:sz w:val="20"/>
              </w:rPr>
              <w:br/>
              <w:t xml:space="preserve">- расход воздуха не менее 1900 м3/ч; </w:t>
            </w:r>
            <w:r>
              <w:rPr>
                <w:rFonts w:ascii="Times New Roman" w:hAnsi="Times New Roman"/>
                <w:sz w:val="20"/>
              </w:rPr>
              <w:br/>
              <w:t>- режим осушения;</w:t>
            </w:r>
            <w:r>
              <w:rPr>
                <w:rFonts w:ascii="Times New Roman" w:hAnsi="Times New Roman"/>
                <w:sz w:val="20"/>
              </w:rPr>
              <w:br/>
              <w:t>- автоматическое регулирование воздушного потока;</w:t>
            </w:r>
            <w:r>
              <w:rPr>
                <w:rFonts w:ascii="Times New Roman" w:hAnsi="Times New Roman"/>
                <w:sz w:val="20"/>
              </w:rPr>
              <w:br/>
              <w:t>- устройство для постоянного отвода конденсата в режиме осушения.</w:t>
            </w:r>
          </w:p>
        </w:tc>
      </w:tr>
      <w:tr w:rsidR="005D438C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2.2.12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Система рециркуляции воздуха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</w:tr>
      <w:tr w:rsidR="005D438C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2.2.13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Санитайзер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с расходными материалами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шт.</w:t>
            </w:r>
          </w:p>
        </w:tc>
      </w:tr>
      <w:tr w:rsidR="005D438C">
        <w:trPr>
          <w:trHeight w:val="675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2.2.14.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Столы для </w:t>
            </w:r>
            <w:proofErr w:type="spellStart"/>
            <w:r>
              <w:rPr>
                <w:rFonts w:ascii="Times New Roman" w:hAnsi="Times New Roman"/>
                <w:sz w:val="20"/>
              </w:rPr>
              <w:t>лаунж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 шт. Черного или серебристого цвета. Цвет и форма согласовываются отдельно с Заказчиком</w:t>
            </w:r>
          </w:p>
        </w:tc>
      </w:tr>
      <w:tr w:rsidR="005D438C">
        <w:trPr>
          <w:trHeight w:val="675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Кресла для </w:t>
            </w:r>
            <w:proofErr w:type="spellStart"/>
            <w:r>
              <w:rPr>
                <w:rFonts w:ascii="Times New Roman" w:hAnsi="Times New Roman"/>
                <w:sz w:val="20"/>
              </w:rPr>
              <w:t>лаунж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 менее 8 штук размером не менее 500*500 мм (ширина*высота). Обивка и материал: искусственная кожа, цвет коричневый. Размер: не менее 500*500 мм (ширина*высота) 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2.2.15.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Стойки для подписания соглашений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шт. Каждая оснащена проводным микрофоном.</w:t>
            </w:r>
            <w:r w:rsidR="0013316D">
              <w:rPr>
                <w:rFonts w:ascii="Times New Roman" w:hAnsi="Times New Roman"/>
                <w:sz w:val="20"/>
              </w:rPr>
              <w:t xml:space="preserve"> Должна быть предусмотрена возможность изменения количества стоек (с 2 до 3 и наоборот, в зависимости от числа подписантов)</w:t>
            </w:r>
          </w:p>
        </w:tc>
      </w:tr>
      <w:tr w:rsidR="005D438C">
        <w:trPr>
          <w:trHeight w:val="675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2.2.16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Стойка, стилизованная согласно дизайн-проекту. Размер, цвет и форма согласовываются отдельно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Барные стулья для стойки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шт. Цвет и форма согласовываются отдельно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2.2.17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Диагональ: 65 дюймов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2.2.18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 Цвет и форма согласовываются отдельно с Заказчиком.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2.2.19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Рабочий стол для подсобного помещения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2.2.20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Стеллаж для оборудования в подсобное помещение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3 шт.</w:t>
            </w:r>
          </w:p>
        </w:tc>
      </w:tr>
      <w:tr w:rsidR="005D438C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Аккредитационные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расходы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D438C">
        <w:trPr>
          <w:trHeight w:val="810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</w:tr>
      <w:tr w:rsidR="005D438C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наличие на стенде технических специалистов в период проведения мероприятия: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18-20 июня 2025 года (включительно): с 8:00 до 20:00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21 июня 2025 года: с 8:00 до 18:00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Состав технического персонала: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звукорежиссер – 1 чел.,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-специалист по мультимедийному оборудованию – 1 чел.,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электрик/монтажник – 1 чел.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D438C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уборку Выставочной экспозиции в течение всего времени проведения в период с 18 по 21 июня 2025 г., а также генеральную уборку Выставочной экспозиции после проведения монтажных и демонтажных услуг. </w:t>
            </w:r>
          </w:p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экспозиции понимается поддержание </w:t>
            </w:r>
            <w:r>
              <w:rPr>
                <w:rFonts w:ascii="Times New Roman" w:hAnsi="Times New Roman"/>
                <w:sz w:val="20"/>
              </w:rPr>
              <w:lastRenderedPageBreak/>
              <w:t xml:space="preserve">чистоты и аккуратного вида всех поверхностей Выставочной экспозиции, оборудования, мебели и т.д., </w:t>
            </w:r>
            <w:r w:rsidR="0013316D">
              <w:rPr>
                <w:rFonts w:ascii="Times New Roman" w:hAnsi="Times New Roman"/>
                <w:sz w:val="20"/>
              </w:rPr>
              <w:t>своевременная уборка и</w:t>
            </w:r>
            <w:r>
              <w:rPr>
                <w:rFonts w:ascii="Times New Roman" w:hAnsi="Times New Roman"/>
                <w:sz w:val="20"/>
              </w:rPr>
              <w:t xml:space="preserve"> вывоз мусора.</w:t>
            </w:r>
          </w:p>
          <w:p w:rsidR="005D438C" w:rsidRDefault="005D438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5D438C">
        <w:trPr>
          <w:trHeight w:val="1133"/>
        </w:trPr>
        <w:tc>
          <w:tcPr>
            <w:tcW w:w="7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4.</w:t>
            </w:r>
          </w:p>
        </w:tc>
        <w:tc>
          <w:tcPr>
            <w:tcW w:w="3014" w:type="dxa"/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r w:rsidR="0013316D">
              <w:rPr>
                <w:rFonts w:ascii="Times New Roman" w:hAnsi="Times New Roman"/>
                <w:sz w:val="20"/>
              </w:rPr>
              <w:t xml:space="preserve">своими силами </w:t>
            </w:r>
            <w:r>
              <w:rPr>
                <w:rFonts w:ascii="Times New Roman" w:hAnsi="Times New Roman"/>
                <w:sz w:val="20"/>
              </w:rPr>
              <w:t>утилизацию бытовых и крупногабаритных твердых коммунальных отходов в соответствии с действующим законодательством.</w:t>
            </w:r>
          </w:p>
        </w:tc>
      </w:tr>
    </w:tbl>
    <w:p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  <w:sectPr w:rsidR="005D438C">
          <w:headerReference w:type="default" r:id="rId31"/>
          <w:pgSz w:w="16848" w:h="11908" w:orient="landscape"/>
          <w:pgMar w:top="1417" w:right="850" w:bottom="567" w:left="850" w:header="720" w:footer="720" w:gutter="0"/>
          <w:cols w:space="720"/>
          <w:docGrid w:linePitch="360"/>
        </w:sectPr>
      </w:pPr>
    </w:p>
    <w:p w:rsidR="005D438C" w:rsidRDefault="0027196A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Обязанности Исполнителя</w:t>
      </w:r>
    </w:p>
    <w:p w:rsidR="005D438C" w:rsidRDefault="0027196A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Исполнитель обеспечивает: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(на телефон Исполнителя +</w:t>
      </w:r>
      <w:proofErr w:type="gramStart"/>
      <w:r>
        <w:rPr>
          <w:rFonts w:ascii="PT Astra Serif" w:hAnsi="PT Astra Serif"/>
          <w:sz w:val="24"/>
        </w:rPr>
        <w:t>79….</w:t>
      </w:r>
      <w:proofErr w:type="gramEnd"/>
      <w:r>
        <w:rPr>
          <w:rFonts w:ascii="PT Astra Serif" w:hAnsi="PT Astra Serif"/>
          <w:sz w:val="24"/>
        </w:rPr>
        <w:t xml:space="preserve"> ,  направленное через мессенджеры </w:t>
      </w:r>
      <w:proofErr w:type="spellStart"/>
      <w:r>
        <w:rPr>
          <w:rFonts w:ascii="PT Astra Serif" w:hAnsi="PT Astra Serif"/>
          <w:sz w:val="24"/>
        </w:rPr>
        <w:t>WhatsApp</w:t>
      </w:r>
      <w:proofErr w:type="spellEnd"/>
      <w:r>
        <w:rPr>
          <w:rFonts w:ascii="PT Astra Serif" w:hAnsi="PT Astra Serif"/>
          <w:sz w:val="24"/>
        </w:rPr>
        <w:t xml:space="preserve">, </w:t>
      </w:r>
      <w:proofErr w:type="spellStart"/>
      <w:r>
        <w:rPr>
          <w:rFonts w:ascii="PT Astra Serif" w:hAnsi="PT Astra Serif"/>
          <w:sz w:val="24"/>
        </w:rPr>
        <w:t>Telegram</w:t>
      </w:r>
      <w:proofErr w:type="spellEnd"/>
      <w:r>
        <w:rPr>
          <w:rFonts w:ascii="PT Astra Serif" w:hAnsi="PT Astra Serif"/>
          <w:sz w:val="24"/>
        </w:rPr>
        <w:t xml:space="preserve"> и т.д.), в том числе устной включая выходные и праздничные дни, произвести ремонт или замену бракованного (сломанного) элемента оформления Выставочной экспозиции;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Аккредитацию персонала Исполнителя на Мероприятие – в установленные Оператором сроки; 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Противопожарную обслугу комплектующих Выставочной экспозиции; 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Оплату всех расходов на </w:t>
      </w:r>
      <w:proofErr w:type="spellStart"/>
      <w:r>
        <w:rPr>
          <w:rFonts w:ascii="PT Astra Serif" w:hAnsi="PT Astra Serif"/>
          <w:sz w:val="24"/>
        </w:rPr>
        <w:t>электроподключение</w:t>
      </w:r>
      <w:proofErr w:type="spellEnd"/>
      <w:r>
        <w:rPr>
          <w:rFonts w:ascii="PT Astra Serif" w:hAnsi="PT Astra Serif"/>
          <w:sz w:val="24"/>
        </w:rPr>
        <w:t xml:space="preserve"> в полном объеме;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Оплату всех расходов, связанных с противопожарным обслуживанием Выставочной экспозиции;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Оплату всех расходов, включая расходы на доставку, погрузку, разгрузку и вывоз оборудования, транспортные расходы, страхование, налогов, сборов и других обязательных платежей, уплачиваемые Исполнителем в связи с оказанием услуг; 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Подготовку материалов и оборудования, элементов Выставочной экспозиции (упаковка, такелажные, погрузочно-разгрузочные работы и транспортировка выставочного оборудования и материалов к месту и с места проведения Мероприятия);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Монтаж Выставочной экспозиции и элементов оформления;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Инженерное обслуживание Выставочной экспозиции;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Уборку площадки застройки Выставочной экспозиции по время монтажа-демонтажа, после монтажа-демонтажа, уборку Выставочной экспозиции во время проведения Мероприятия;</w:t>
      </w:r>
    </w:p>
    <w:p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Демонтаж и уничтожение Выставочной экспозиции после проведения Мероприятия;</w:t>
      </w:r>
    </w:p>
    <w:p w:rsidR="005D438C" w:rsidRDefault="005D438C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:rsidR="005D438C" w:rsidRDefault="0027196A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ПМЭФ-2025</w:t>
      </w:r>
    </w:p>
    <w:p w:rsidR="005D438C" w:rsidRDefault="0027196A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:rsidR="005D438C" w:rsidRDefault="0027196A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 (Фонд </w:t>
      </w:r>
      <w:proofErr w:type="spellStart"/>
      <w:r>
        <w:rPr>
          <w:rFonts w:ascii="PT Astra Serif" w:hAnsi="PT Astra Serif"/>
          <w:sz w:val="24"/>
          <w:szCs w:val="24"/>
        </w:rPr>
        <w:t>Росконгресс</w:t>
      </w:r>
      <w:proofErr w:type="spellEnd"/>
      <w:r>
        <w:rPr>
          <w:rFonts w:ascii="PT Astra Serif" w:hAnsi="PT Astra Serif"/>
          <w:sz w:val="24"/>
          <w:szCs w:val="24"/>
        </w:rPr>
        <w:t>) надзорных и контрольных органов власти, органов государственной безопасности;</w:t>
      </w:r>
    </w:p>
    <w:p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:rsidR="005D438C" w:rsidRDefault="005D438C">
      <w:pPr>
        <w:tabs>
          <w:tab w:val="left" w:pos="142"/>
          <w:tab w:val="left" w:pos="851"/>
        </w:tabs>
        <w:spacing w:after="0"/>
        <w:ind w:right="28" w:firstLine="567"/>
        <w:contextualSpacing/>
        <w:jc w:val="both"/>
        <w:rPr>
          <w:rFonts w:ascii="PT Astra Serif" w:hAnsi="PT Astra Serif"/>
        </w:rPr>
      </w:pPr>
    </w:p>
    <w:p w:rsidR="005D438C" w:rsidRDefault="005D438C">
      <w:pPr>
        <w:pStyle w:val="afc"/>
        <w:ind w:firstLine="0"/>
        <w:rPr>
          <w:rFonts w:ascii="PT Astra Serif" w:hAnsi="PT Astra Serif"/>
          <w:sz w:val="24"/>
        </w:rPr>
      </w:pPr>
    </w:p>
    <w:p w:rsidR="005D438C" w:rsidRDefault="005D438C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5D438C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:rsidR="005D438C" w:rsidRDefault="0027196A">
      <w:pPr>
        <w:tabs>
          <w:tab w:val="left" w:pos="5748"/>
        </w:tabs>
        <w:sectPr w:rsidR="005D438C">
          <w:headerReference w:type="default" r:id="rId32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  <w:r>
        <w:tab/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№2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«_____» ______ 2025 г.</w:t>
      </w:r>
    </w:p>
    <w:p w:rsidR="005D438C" w:rsidRDefault="005D438C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:rsidR="005D438C" w:rsidRDefault="0027196A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Спецификация</w:t>
      </w:r>
    </w:p>
    <w:p w:rsidR="005D438C" w:rsidRDefault="005D438C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p w:rsidR="005D438C" w:rsidRDefault="005D438C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tbl>
      <w:tblPr>
        <w:tblW w:w="10627" w:type="dxa"/>
        <w:tblInd w:w="-714" w:type="dxa"/>
        <w:tblLook w:val="04A0" w:firstRow="1" w:lastRow="0" w:firstColumn="1" w:lastColumn="0" w:noHBand="0" w:noVBand="1"/>
      </w:tblPr>
      <w:tblGrid>
        <w:gridCol w:w="1356"/>
        <w:gridCol w:w="3873"/>
        <w:gridCol w:w="1518"/>
        <w:gridCol w:w="1184"/>
        <w:gridCol w:w="1261"/>
        <w:gridCol w:w="1435"/>
      </w:tblGrid>
      <w:tr w:rsidR="005D438C" w:rsidTr="0013316D">
        <w:trPr>
          <w:trHeight w:val="630"/>
        </w:trPr>
        <w:tc>
          <w:tcPr>
            <w:tcW w:w="13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№ п/п</w:t>
            </w:r>
          </w:p>
        </w:tc>
        <w:tc>
          <w:tcPr>
            <w:tcW w:w="38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Наименование</w:t>
            </w:r>
          </w:p>
        </w:tc>
        <w:tc>
          <w:tcPr>
            <w:tcW w:w="1518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</w:tc>
        <w:tc>
          <w:tcPr>
            <w:tcW w:w="11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Цена,</w:t>
            </w:r>
          </w:p>
        </w:tc>
        <w:tc>
          <w:tcPr>
            <w:tcW w:w="1261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Кол-во,</w:t>
            </w:r>
          </w:p>
        </w:tc>
        <w:tc>
          <w:tcPr>
            <w:tcW w:w="1435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Стоимость, всего</w:t>
            </w:r>
          </w:p>
        </w:tc>
      </w:tr>
      <w:tr w:rsidR="005D438C" w:rsidTr="0013316D">
        <w:trPr>
          <w:trHeight w:val="315"/>
        </w:trPr>
        <w:tc>
          <w:tcPr>
            <w:tcW w:w="13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38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изм.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000000" w:fill="D8D8D8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Разработка проектно-технической документации и согласование с оператором мероприятия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1.1.</w:t>
            </w:r>
          </w:p>
        </w:tc>
        <w:tc>
          <w:tcPr>
            <w:tcW w:w="3873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проектной документации</w:t>
            </w:r>
          </w:p>
        </w:tc>
        <w:tc>
          <w:tcPr>
            <w:tcW w:w="1518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конструкторской документации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проекта электроснабжения выставочной экспозиции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000000" w:fill="D8D8D8"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Монтаж Выставочного стенда, включая внутреннее наполнение Выставочной экспозиции, </w:t>
            </w:r>
            <w:proofErr w:type="spellStart"/>
            <w:r>
              <w:rPr>
                <w:rFonts w:ascii="PT Astra Serif" w:hAnsi="PT Astra Serif" w:cs="Calibri"/>
                <w:b/>
                <w:bCs/>
                <w:szCs w:val="22"/>
              </w:rPr>
              <w:t>аккредитационные</w:t>
            </w:r>
            <w:proofErr w:type="spellEnd"/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 расходы 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2.1.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Монтаж Выставочного стенда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FF0000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423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5D438C" w:rsidTr="0013316D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5D438C" w:rsidTr="0013316D">
        <w:trPr>
          <w:trHeight w:val="6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5D438C" w:rsidTr="0013316D">
        <w:trPr>
          <w:trHeight w:val="66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2.2.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Внутреннее наполнение Выставочной экспозиции (аренда)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Барная стойка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Барные стулья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7,00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Холодильник с морозильной камерой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2.2.3.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Кулер для воды 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Бутылки с питьевой водой объемом 19 л.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2.2.4.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МФУ лазерный, печать: цветная с расходными материалами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2.2.5.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  <w:lang w:val="en-US"/>
              </w:rPr>
            </w:pPr>
            <w:r>
              <w:rPr>
                <w:rFonts w:ascii="PT Astra Serif" w:hAnsi="PT Astra Serif" w:cs="Calibri"/>
                <w:szCs w:val="22"/>
              </w:rPr>
              <w:t>Колонка</w:t>
            </w:r>
            <w:r>
              <w:rPr>
                <w:rFonts w:ascii="PT Astra Serif" w:hAnsi="PT Astra Serif" w:cs="Calibri"/>
                <w:szCs w:val="22"/>
                <w:lang w:val="en-US"/>
              </w:rPr>
              <w:t xml:space="preserve"> LD Systems MAUI P900 B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23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2.2.6.</w:t>
            </w:r>
          </w:p>
        </w:tc>
        <w:tc>
          <w:tcPr>
            <w:tcW w:w="5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Комплект светодиодных экранов</w:t>
            </w:r>
          </w:p>
        </w:tc>
        <w:tc>
          <w:tcPr>
            <w:tcW w:w="3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55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szCs w:val="22"/>
              </w:rPr>
              <w:lastRenderedPageBreak/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D438C" w:rsidRDefault="0027196A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color w:val="auto"/>
                <w:szCs w:val="22"/>
              </w:rPr>
              <w:t>Светодиодный экран (шаг пикселя 2,6мм) 6х4м центральный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color w:val="auto"/>
                <w:szCs w:val="22"/>
              </w:rPr>
              <w:t xml:space="preserve">Шт.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23"/>
        </w:trPr>
        <w:tc>
          <w:tcPr>
            <w:tcW w:w="13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5D438C" w:rsidRDefault="0027196A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color w:val="auto"/>
                <w:szCs w:val="22"/>
              </w:rPr>
              <w:t xml:space="preserve">Светодиодный экран (шаг пикселя 2,6мм) 6х2м угловой 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color w:val="auto"/>
                <w:szCs w:val="22"/>
              </w:rPr>
              <w:t xml:space="preserve">Шт. 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>
              <w:rPr>
                <w:rFonts w:ascii="PT Astra Serif" w:hAnsi="PT Astra Serif" w:cs="Calibri"/>
                <w:i/>
                <w:i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2.2.7.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Контролер LED-экрана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  <w:highlight w:val="yellow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2.2.8.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Стол для переговоров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2.2.9.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Кресла рабочие для закрытой переговорной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8,00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2.2.10.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Ноутбук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Кондиционер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Система рециркуляции воздуха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szCs w:val="22"/>
              </w:rPr>
              <w:t>Санитайзер</w:t>
            </w:r>
            <w:proofErr w:type="spellEnd"/>
            <w:r>
              <w:rPr>
                <w:rFonts w:ascii="PT Astra Serif" w:hAnsi="PT Astra Serif" w:cs="Calibri"/>
                <w:szCs w:val="22"/>
              </w:rPr>
              <w:t xml:space="preserve"> с расходными материалами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49"/>
        </w:trPr>
        <w:tc>
          <w:tcPr>
            <w:tcW w:w="1356" w:type="dxa"/>
            <w:vMerge w:val="restart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Столы для </w:t>
            </w:r>
            <w:proofErr w:type="spellStart"/>
            <w:r>
              <w:rPr>
                <w:rFonts w:ascii="PT Astra Serif" w:hAnsi="PT Astra Serif" w:cs="Calibri"/>
                <w:szCs w:val="22"/>
              </w:rPr>
              <w:t>лаунж</w:t>
            </w:r>
            <w:proofErr w:type="spellEnd"/>
            <w:r>
              <w:rPr>
                <w:rFonts w:ascii="PT Astra Serif" w:hAnsi="PT Astra Serif" w:cs="Calibri"/>
                <w:szCs w:val="22"/>
              </w:rPr>
              <w:t xml:space="preserve"> зоны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Кресла для </w:t>
            </w:r>
            <w:proofErr w:type="spellStart"/>
            <w:r>
              <w:rPr>
                <w:rFonts w:ascii="PT Astra Serif" w:hAnsi="PT Astra Serif" w:cs="Calibri"/>
                <w:szCs w:val="22"/>
              </w:rPr>
              <w:t>лаунж</w:t>
            </w:r>
            <w:proofErr w:type="spellEnd"/>
            <w:r>
              <w:rPr>
                <w:rFonts w:ascii="PT Astra Serif" w:hAnsi="PT Astra Serif" w:cs="Calibri"/>
                <w:szCs w:val="22"/>
              </w:rPr>
              <w:t xml:space="preserve"> зоны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8,00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2.2.15.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Стойки для подписания соглашений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 w:val="restart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38C" w:rsidRDefault="0027196A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2.2.16.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Стойка </w:t>
            </w:r>
            <w:proofErr w:type="spellStart"/>
            <w:r>
              <w:rPr>
                <w:rFonts w:ascii="PT Astra Serif" w:hAnsi="PT Astra Serif" w:cs="Calibri"/>
                <w:szCs w:val="22"/>
              </w:rPr>
              <w:t>ресепшн</w:t>
            </w:r>
            <w:proofErr w:type="spellEnd"/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vMerge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38C" w:rsidRDefault="005D438C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Барные стулья для стойки </w:t>
            </w:r>
            <w:proofErr w:type="spellStart"/>
            <w:r>
              <w:rPr>
                <w:rFonts w:ascii="PT Astra Serif" w:hAnsi="PT Astra Serif" w:cs="Calibri"/>
                <w:szCs w:val="22"/>
              </w:rPr>
              <w:t>ресепшн</w:t>
            </w:r>
            <w:proofErr w:type="spellEnd"/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2.2.17.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ЖК панель для переговорной комнаты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2.2.18.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Напольная вешалка для переговорной комнаты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2.2.19.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Рабочий стол для подсобного помещения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2.2.20.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Стеллаж для оборудования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2.3.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b/>
                <w:bCs/>
                <w:szCs w:val="22"/>
              </w:rPr>
              <w:t>Аккредитационные</w:t>
            </w:r>
            <w:proofErr w:type="spellEnd"/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 расходы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126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Услуги по обслуживанию выставочной экспозиции (звукорежиссер, специалист по мультимедийному оборудованию, электрик/монтажник)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Уборка выставочной экспозиции (генеральная уборка после монтажа)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szCs w:val="22"/>
              </w:rPr>
              <w:t>Кв.м</w:t>
            </w:r>
            <w:proofErr w:type="spellEnd"/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120,00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3.2.3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Уборка выставочной экспозиции в период проведения мероприятия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5D438C" w:rsidTr="0013316D">
        <w:trPr>
          <w:trHeight w:val="94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b/>
                <w:bCs/>
                <w:szCs w:val="22"/>
              </w:rPr>
              <w:t>компл</w:t>
            </w:r>
            <w:proofErr w:type="spellEnd"/>
            <w:r>
              <w:rPr>
                <w:rFonts w:ascii="PT Astra Serif" w:hAnsi="PT Astra Serif" w:cs="Calibri"/>
                <w:b/>
                <w:bCs/>
                <w:szCs w:val="22"/>
              </w:rPr>
              <w:t>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5D438C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СУММА: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без НДС: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5D438C" w:rsidTr="0013316D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lastRenderedPageBreak/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ВСЕГО: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38C" w:rsidRDefault="005D438C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</w:tbl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№3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приема-передачи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bCs/>
          <w:sz w:val="24"/>
        </w:rPr>
        <w:t>сдачи-приемки выполненных работ/оказанных услуг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>
        <w:tc>
          <w:tcPr>
            <w:tcW w:w="4845" w:type="dxa"/>
          </w:tcPr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5D438C" w:rsidRDefault="005D438C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5D438C" w:rsidRDefault="0027196A">
      <w:pPr>
        <w:pStyle w:val="afc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Исполнитель передал Заказчику, а Заказчик принял нижеперечисленные документы:</w:t>
      </w:r>
    </w:p>
    <w:p w:rsidR="005D438C" w:rsidRDefault="005D438C">
      <w:pPr>
        <w:pStyle w:val="afc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 w:val="24"/>
          <w:szCs w:val="24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5575"/>
        <w:gridCol w:w="1559"/>
        <w:gridCol w:w="1843"/>
      </w:tblGrid>
      <w:tr w:rsidR="005D438C">
        <w:tc>
          <w:tcPr>
            <w:tcW w:w="691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№</w:t>
            </w:r>
          </w:p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п/п</w:t>
            </w:r>
          </w:p>
        </w:tc>
        <w:tc>
          <w:tcPr>
            <w:tcW w:w="5575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 страниц</w:t>
            </w:r>
          </w:p>
        </w:tc>
        <w:tc>
          <w:tcPr>
            <w:tcW w:w="1843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</w:t>
            </w:r>
          </w:p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-ров</w:t>
            </w:r>
          </w:p>
        </w:tc>
      </w:tr>
      <w:tr w:rsidR="005D438C">
        <w:tc>
          <w:tcPr>
            <w:tcW w:w="691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1.</w:t>
            </w:r>
          </w:p>
        </w:tc>
        <w:tc>
          <w:tcPr>
            <w:tcW w:w="5575" w:type="dxa"/>
            <w:shd w:val="clear" w:color="auto" w:fill="auto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5D438C">
        <w:tc>
          <w:tcPr>
            <w:tcW w:w="691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2.</w:t>
            </w:r>
          </w:p>
        </w:tc>
        <w:tc>
          <w:tcPr>
            <w:tcW w:w="5575" w:type="dxa"/>
            <w:shd w:val="clear" w:color="auto" w:fill="auto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5D438C">
        <w:tc>
          <w:tcPr>
            <w:tcW w:w="691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3.</w:t>
            </w:r>
          </w:p>
        </w:tc>
        <w:tc>
          <w:tcPr>
            <w:tcW w:w="5575" w:type="dxa"/>
            <w:shd w:val="clear" w:color="auto" w:fill="auto"/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</w:tbl>
    <w:p w:rsidR="005D438C" w:rsidRDefault="005D438C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5D438C" w:rsidRDefault="0027196A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 w:val="24"/>
          <w:szCs w:val="24"/>
        </w:rPr>
        <w:t>Яндекс.Диск</w:t>
      </w:r>
      <w:proofErr w:type="spellEnd"/>
      <w:r>
        <w:rPr>
          <w:rFonts w:ascii="PT Astra Serif" w:hAnsi="PT Astra Serif"/>
          <w:sz w:val="24"/>
          <w:szCs w:val="24"/>
        </w:rPr>
        <w:t>. с предоставлением ссылки для скачивания.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2.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Исключительные права </w:t>
      </w:r>
      <w:r>
        <w:rPr>
          <w:rFonts w:ascii="PT Astra Serif" w:hAnsi="PT Astra Serif"/>
          <w:sz w:val="24"/>
          <w:szCs w:val="24"/>
        </w:rPr>
        <w:t>на перечисленные в п.1 документы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b/>
          <w:bCs/>
          <w:sz w:val="24"/>
          <w:szCs w:val="24"/>
          <w:highlight w:val="white"/>
        </w:rPr>
        <w:t>3.</w:t>
      </w:r>
      <w:r>
        <w:rPr>
          <w:rFonts w:ascii="PT Astra Serif" w:hAnsi="PT Astra Serif"/>
          <w:sz w:val="24"/>
          <w:szCs w:val="24"/>
          <w:highlight w:val="white"/>
        </w:rPr>
        <w:t xml:space="preserve"> </w:t>
      </w:r>
      <w:r>
        <w:rPr>
          <w:rFonts w:ascii="PT Astra Serif" w:hAnsi="PT Astra Serif"/>
          <w:sz w:val="24"/>
          <w:szCs w:val="24"/>
        </w:rPr>
        <w:t xml:space="preserve">Всего выполнено работ/оказано услуг по разработке проектно-технической документации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</w:t>
      </w:r>
      <w:r>
        <w:rPr>
          <w:rFonts w:ascii="PT Astra Serif" w:hAnsi="PT Astra Serif"/>
          <w:sz w:val="24"/>
          <w:szCs w:val="24"/>
          <w:highlight w:val="white"/>
        </w:rPr>
        <w:t>).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перечисленным в п.1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 w:val="24"/>
          <w:szCs w:val="24"/>
        </w:rPr>
        <w:t>имеет:_</w:t>
      </w:r>
      <w:proofErr w:type="gramEnd"/>
      <w:r>
        <w:rPr>
          <w:rFonts w:ascii="PT Astra Serif" w:hAnsi="PT Astra Serif"/>
          <w:sz w:val="24"/>
          <w:szCs w:val="24"/>
        </w:rPr>
        <w:t>_______________________________________________________.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5D438C" w:rsidRDefault="005D438C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>
        <w:tc>
          <w:tcPr>
            <w:tcW w:w="4845" w:type="dxa"/>
          </w:tcPr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 xml:space="preserve">  Исполнитель выполнил работы/оказал услуги по монтажу Выставочного стенда Тульской области в рамках Петербургского Международного Экономического Форума 2025,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______2025г. Заказчику, а Заказчик принимает его без замечаний/с </w:t>
      </w:r>
      <w:proofErr w:type="gramStart"/>
      <w:r>
        <w:rPr>
          <w:rFonts w:ascii="PT Astra Serif" w:hAnsi="PT Astra Serif"/>
          <w:bCs/>
          <w:sz w:val="24"/>
        </w:rPr>
        <w:t>замечаниями:_</w:t>
      </w:r>
      <w:proofErr w:type="gramEnd"/>
      <w:r>
        <w:rPr>
          <w:rFonts w:ascii="PT Astra Serif" w:hAnsi="PT Astra Serif"/>
          <w:bCs/>
          <w:sz w:val="24"/>
        </w:rPr>
        <w:t>_________________________________.</w:t>
      </w:r>
    </w:p>
    <w:p w:rsidR="005D438C" w:rsidRDefault="0027196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 </w:t>
      </w:r>
      <w:r>
        <w:rPr>
          <w:rFonts w:ascii="PT Astra Serif" w:hAnsi="PT Astra Serif"/>
          <w:bCs/>
          <w:sz w:val="24"/>
        </w:rPr>
        <w:t>Исполнитель гарантирует работоспособность оборудования, расположенного на стенде/вмонтированного в стенд</w:t>
      </w:r>
      <w:r>
        <w:rPr>
          <w:rFonts w:ascii="Times New Roman" w:hAnsi="Times New Roman"/>
          <w:sz w:val="24"/>
          <w:szCs w:val="24"/>
        </w:rPr>
        <w:t>, а также его зам</w:t>
      </w:r>
      <w:r w:rsidR="002A5AEB">
        <w:rPr>
          <w:rFonts w:ascii="Times New Roman" w:hAnsi="Times New Roman"/>
          <w:sz w:val="24"/>
          <w:szCs w:val="24"/>
        </w:rPr>
        <w:t xml:space="preserve">ену (ремонт) в течение 5 часов </w:t>
      </w:r>
      <w:r>
        <w:rPr>
          <w:rFonts w:ascii="Times New Roman" w:hAnsi="Times New Roman"/>
          <w:sz w:val="24"/>
          <w:szCs w:val="24"/>
        </w:rPr>
        <w:t>с момента получения сообщения на телефон Исполнителя +</w:t>
      </w:r>
      <w:proofErr w:type="gramStart"/>
      <w:r>
        <w:rPr>
          <w:rFonts w:ascii="Times New Roman" w:hAnsi="Times New Roman"/>
          <w:sz w:val="24"/>
          <w:szCs w:val="24"/>
        </w:rPr>
        <w:t>79….</w:t>
      </w:r>
      <w:proofErr w:type="gramEnd"/>
      <w:r>
        <w:rPr>
          <w:rFonts w:ascii="Times New Roman" w:hAnsi="Times New Roman"/>
          <w:sz w:val="24"/>
          <w:szCs w:val="24"/>
        </w:rPr>
        <w:t xml:space="preserve"> , направленное через мессенджеры </w:t>
      </w:r>
      <w:proofErr w:type="spellStart"/>
      <w:r>
        <w:rPr>
          <w:rFonts w:ascii="Times New Roman" w:hAnsi="Times New Roman"/>
          <w:sz w:val="24"/>
          <w:szCs w:val="24"/>
        </w:rPr>
        <w:t>WhatsApp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Telegram</w:t>
      </w:r>
      <w:proofErr w:type="spellEnd"/>
      <w:r>
        <w:rPr>
          <w:rFonts w:ascii="Times New Roman" w:hAnsi="Times New Roman"/>
          <w:sz w:val="24"/>
          <w:szCs w:val="24"/>
        </w:rPr>
        <w:t xml:space="preserve">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экспозиции).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</w:t>
      </w:r>
      <w:proofErr w:type="gramStart"/>
      <w:r>
        <w:rPr>
          <w:rFonts w:ascii="PT Astra Serif" w:hAnsi="PT Astra Serif"/>
          <w:sz w:val="24"/>
          <w:szCs w:val="24"/>
        </w:rPr>
        <w:t>сумму:_</w:t>
      </w:r>
      <w:proofErr w:type="gramEnd"/>
      <w:r>
        <w:rPr>
          <w:rFonts w:ascii="PT Astra Serif" w:hAnsi="PT Astra Serif"/>
          <w:sz w:val="24"/>
          <w:szCs w:val="24"/>
        </w:rPr>
        <w:t>________</w:t>
      </w:r>
      <w:r w:rsidR="002A5AEB">
        <w:rPr>
          <w:rFonts w:ascii="PT Astra Serif" w:hAnsi="PT Astra Serif"/>
          <w:sz w:val="24"/>
          <w:szCs w:val="24"/>
        </w:rPr>
        <w:t xml:space="preserve">______ (______________) рублей </w:t>
      </w:r>
      <w:r>
        <w:rPr>
          <w:rFonts w:ascii="PT Astra Serif" w:hAnsi="PT Astra Serif"/>
          <w:sz w:val="24"/>
          <w:szCs w:val="24"/>
        </w:rPr>
        <w:t>____________ копеек, (НДС _____________________).</w:t>
      </w:r>
    </w:p>
    <w:p w:rsidR="005D438C" w:rsidRDefault="0027196A">
      <w:pPr>
        <w:widowControl w:val="0"/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4.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№5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>
        <w:tc>
          <w:tcPr>
            <w:tcW w:w="4845" w:type="dxa"/>
          </w:tcPr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и передал, а Заказчик принял следующие работы/оказал услуги: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Cs/>
          <w:sz w:val="24"/>
        </w:rPr>
        <w:t>-</w:t>
      </w:r>
      <w:r>
        <w:t xml:space="preserve"> </w:t>
      </w:r>
      <w:r>
        <w:rPr>
          <w:rFonts w:ascii="PT Astra Serif" w:hAnsi="PT Astra Serif"/>
          <w:bCs/>
          <w:sz w:val="24"/>
        </w:rPr>
        <w:t>обслуживание и обеспечение функционирования Выставочной экспозиции Тульской области в рамках Петербургского Международного Экономического Форума 2025, на сумму: ____________________ (___) руб.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sz w:val="24"/>
        </w:rPr>
        <w:t xml:space="preserve">- демонтаж </w:t>
      </w:r>
      <w:r>
        <w:rPr>
          <w:rFonts w:ascii="PT Astra Serif" w:hAnsi="PT Astra Serif"/>
          <w:bCs/>
          <w:sz w:val="24"/>
        </w:rPr>
        <w:t>оборудования, расположенного на стенде/вмонтированного в стенд, демонтаж Выставочного стенда и утилизация Выставочного стенда</w:t>
      </w:r>
      <w:r>
        <w:rPr>
          <w:rFonts w:ascii="PT Astra Serif" w:hAnsi="PT Astra Serif"/>
          <w:sz w:val="24"/>
        </w:rPr>
        <w:t xml:space="preserve">, </w:t>
      </w:r>
      <w:r>
        <w:rPr>
          <w:rFonts w:ascii="PT Astra Serif" w:hAnsi="PT Astra Serif"/>
          <w:bCs/>
          <w:sz w:val="24"/>
        </w:rPr>
        <w:t>на сумму: ____________________ (___) руб.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Всего передано работ/услуг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_____________________).</w:t>
      </w:r>
      <w:bookmarkStart w:id="2" w:name="_Hlk157103572"/>
      <w:bookmarkEnd w:id="2"/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 Исполнитель передал, а Заказчик принял </w:t>
      </w:r>
      <w:r>
        <w:rPr>
          <w:rFonts w:ascii="PT Astra Serif" w:hAnsi="PT Astra Serif"/>
          <w:sz w:val="24"/>
        </w:rPr>
        <w:t>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приемки выставочного оборудования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2A5AEB"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>
        <w:tc>
          <w:tcPr>
            <w:tcW w:w="4845" w:type="dxa"/>
          </w:tcPr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D438C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5D438C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5D438C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 w:val="24"/>
          <w:szCs w:val="24"/>
        </w:rPr>
      </w:pPr>
    </w:p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возврата выставочного оборудования</w:t>
      </w:r>
    </w:p>
    <w:p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2A5AEB"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>
        <w:tc>
          <w:tcPr>
            <w:tcW w:w="4845" w:type="dxa"/>
          </w:tcPr>
          <w:p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______________, действующего на основании 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D438C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5D438C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5D438C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 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5D438C">
      <w:footerReference w:type="default" r:id="rId33"/>
      <w:pgSz w:w="11908" w:h="16848"/>
      <w:pgMar w:top="850" w:right="567" w:bottom="850" w:left="1418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BCDBD46" w16cex:dateUtc="2025-05-13T09:44:00Z"/>
  <w16cex:commentExtensible w16cex:durableId="2BCDBB4B" w16cex:dateUtc="2025-05-13T09:36:00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00000002" w16cid:durableId="2BCDBD46"/>
  <w16cid:commentId w16cid:paraId="00000004" w16cid:durableId="2BCDBB4B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4E94" w:rsidRDefault="00544E94">
      <w:pPr>
        <w:spacing w:after="0" w:line="240" w:lineRule="auto"/>
      </w:pPr>
      <w:r>
        <w:separator/>
      </w:r>
    </w:p>
  </w:endnote>
  <w:endnote w:type="continuationSeparator" w:id="0">
    <w:p w:rsidR="00544E94" w:rsidRDefault="00544E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Microsoft JhengHe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38C" w:rsidRDefault="0027196A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C66457">
      <w:rPr>
        <w:noProof/>
      </w:rPr>
      <w:t>30</w:t>
    </w:r>
    <w:r>
      <w:fldChar w:fldCharType="end"/>
    </w:r>
  </w:p>
  <w:p w:rsidR="005D438C" w:rsidRDefault="005D438C">
    <w:pPr>
      <w:pStyle w:val="af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38C" w:rsidRDefault="0027196A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C66457">
      <w:rPr>
        <w:noProof/>
      </w:rPr>
      <w:t>31</w:t>
    </w:r>
    <w:r>
      <w:fldChar w:fldCharType="end"/>
    </w:r>
  </w:p>
  <w:p w:rsidR="005D438C" w:rsidRDefault="005D438C">
    <w:pPr>
      <w:pStyle w:val="af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4E94" w:rsidRDefault="00544E94">
      <w:pPr>
        <w:spacing w:after="0" w:line="240" w:lineRule="auto"/>
      </w:pPr>
      <w:r>
        <w:separator/>
      </w:r>
    </w:p>
  </w:footnote>
  <w:footnote w:type="continuationSeparator" w:id="0">
    <w:p w:rsidR="00544E94" w:rsidRDefault="00544E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38C" w:rsidRDefault="005D438C"/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38C" w:rsidRDefault="005D438C">
    <w:pPr>
      <w:pStyle w:val="af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36F91"/>
    <w:multiLevelType w:val="multilevel"/>
    <w:tmpl w:val="22D6D2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070E467C"/>
    <w:multiLevelType w:val="hybridMultilevel"/>
    <w:tmpl w:val="8C3C5058"/>
    <w:lvl w:ilvl="0" w:tplc="C9C4036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9126CB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6A0D07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F78414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EEAEC7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2F4427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7E8DB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A82A30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BB8923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B545277"/>
    <w:multiLevelType w:val="hybridMultilevel"/>
    <w:tmpl w:val="D0F01B12"/>
    <w:lvl w:ilvl="0" w:tplc="D14C11C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D840D3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E8EB13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F625294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8AD0E72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C729E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BA6055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4241F3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51ADE2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0C553A93"/>
    <w:multiLevelType w:val="hybridMultilevel"/>
    <w:tmpl w:val="AB28A670"/>
    <w:lvl w:ilvl="0" w:tplc="B1440C4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2A263AA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06AA3D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672993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C9AADE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34CC07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1D22E5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CECF05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19308D3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4" w15:restartNumberingAfterBreak="0">
    <w:nsid w:val="0EAD2466"/>
    <w:multiLevelType w:val="hybridMultilevel"/>
    <w:tmpl w:val="121062E8"/>
    <w:lvl w:ilvl="0" w:tplc="EAEAC19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C3A5F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FAECA8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8B61F2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4569B7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FCE995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64AAB1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B04851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D242F1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0843C4D"/>
    <w:multiLevelType w:val="hybridMultilevel"/>
    <w:tmpl w:val="16D08A64"/>
    <w:lvl w:ilvl="0" w:tplc="99CCC38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3F218D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A58028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1321B1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1A5457A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7043D7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B7EA14E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B81C78F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61B02E7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6" w15:restartNumberingAfterBreak="0">
    <w:nsid w:val="29E2009D"/>
    <w:multiLevelType w:val="multilevel"/>
    <w:tmpl w:val="EA94B7C6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7" w15:restartNumberingAfterBreak="0">
    <w:nsid w:val="2C4A3C62"/>
    <w:multiLevelType w:val="hybridMultilevel"/>
    <w:tmpl w:val="9244A184"/>
    <w:lvl w:ilvl="0" w:tplc="BC9C33E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E8C29B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ADCAEE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130BB9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6A493D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C3CC59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3C2DF5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4E96590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F12EF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35CE5530"/>
    <w:multiLevelType w:val="hybridMultilevel"/>
    <w:tmpl w:val="9E0E301E"/>
    <w:lvl w:ilvl="0" w:tplc="34786A5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D64F7E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8F4C3D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7E48147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CE2034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4EEB09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AEAA662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4C253F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AD65A6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9" w15:restartNumberingAfterBreak="0">
    <w:nsid w:val="35D01B43"/>
    <w:multiLevelType w:val="multilevel"/>
    <w:tmpl w:val="B6820A0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0" w15:restartNumberingAfterBreak="0">
    <w:nsid w:val="62E65535"/>
    <w:multiLevelType w:val="hybridMultilevel"/>
    <w:tmpl w:val="1B80494A"/>
    <w:lvl w:ilvl="0" w:tplc="327AF19E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CC684D2A">
      <w:start w:val="1"/>
      <w:numFmt w:val="lowerLetter"/>
      <w:lvlText w:val="%2."/>
      <w:lvlJc w:val="left"/>
      <w:pPr>
        <w:ind w:left="1619" w:hanging="360"/>
      </w:pPr>
    </w:lvl>
    <w:lvl w:ilvl="2" w:tplc="9EDCF306">
      <w:start w:val="1"/>
      <w:numFmt w:val="lowerRoman"/>
      <w:lvlText w:val="%3."/>
      <w:lvlJc w:val="right"/>
      <w:pPr>
        <w:ind w:left="2339" w:hanging="180"/>
      </w:pPr>
    </w:lvl>
    <w:lvl w:ilvl="3" w:tplc="D66683BE">
      <w:start w:val="1"/>
      <w:numFmt w:val="decimal"/>
      <w:lvlText w:val="%4."/>
      <w:lvlJc w:val="left"/>
      <w:pPr>
        <w:ind w:left="3059" w:hanging="360"/>
      </w:pPr>
    </w:lvl>
    <w:lvl w:ilvl="4" w:tplc="9B3E0F5A">
      <w:start w:val="1"/>
      <w:numFmt w:val="lowerLetter"/>
      <w:lvlText w:val="%5."/>
      <w:lvlJc w:val="left"/>
      <w:pPr>
        <w:ind w:left="3779" w:hanging="360"/>
      </w:pPr>
    </w:lvl>
    <w:lvl w:ilvl="5" w:tplc="491C139A">
      <w:start w:val="1"/>
      <w:numFmt w:val="lowerRoman"/>
      <w:lvlText w:val="%6."/>
      <w:lvlJc w:val="right"/>
      <w:pPr>
        <w:ind w:left="4499" w:hanging="180"/>
      </w:pPr>
    </w:lvl>
    <w:lvl w:ilvl="6" w:tplc="7DE63F02">
      <w:start w:val="1"/>
      <w:numFmt w:val="decimal"/>
      <w:lvlText w:val="%7."/>
      <w:lvlJc w:val="left"/>
      <w:pPr>
        <w:ind w:left="5219" w:hanging="360"/>
      </w:pPr>
    </w:lvl>
    <w:lvl w:ilvl="7" w:tplc="9306CC90">
      <w:start w:val="1"/>
      <w:numFmt w:val="lowerLetter"/>
      <w:lvlText w:val="%8."/>
      <w:lvlJc w:val="left"/>
      <w:pPr>
        <w:ind w:left="5939" w:hanging="360"/>
      </w:pPr>
    </w:lvl>
    <w:lvl w:ilvl="8" w:tplc="4C8E34DA">
      <w:start w:val="1"/>
      <w:numFmt w:val="lowerRoman"/>
      <w:lvlText w:val="%9."/>
      <w:lvlJc w:val="right"/>
      <w:pPr>
        <w:ind w:left="6659" w:hanging="180"/>
      </w:pPr>
    </w:lvl>
  </w:abstractNum>
  <w:abstractNum w:abstractNumId="11" w15:restartNumberingAfterBreak="0">
    <w:nsid w:val="63365B13"/>
    <w:multiLevelType w:val="hybridMultilevel"/>
    <w:tmpl w:val="6806324A"/>
    <w:lvl w:ilvl="0" w:tplc="AD482BF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2789B9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D683EF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2B2D92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2005BB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47ADEA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F72009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BFC82B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12C803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6FA602CC"/>
    <w:multiLevelType w:val="hybridMultilevel"/>
    <w:tmpl w:val="12ACD076"/>
    <w:lvl w:ilvl="0" w:tplc="F8C0A1E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D1F89E9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EFC40B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9304B6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0C6D41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E7AB05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EDAB76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7FA0B2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4642A65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3" w15:restartNumberingAfterBreak="0">
    <w:nsid w:val="7AF423D7"/>
    <w:multiLevelType w:val="hybridMultilevel"/>
    <w:tmpl w:val="41F4A814"/>
    <w:lvl w:ilvl="0" w:tplc="A1EEB93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7290907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030873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07EF53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2C5C38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124528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B8839E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FAB47C8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B5AB2E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7E4C7B4E"/>
    <w:multiLevelType w:val="hybridMultilevel"/>
    <w:tmpl w:val="61382BD2"/>
    <w:lvl w:ilvl="0" w:tplc="5ABEB2A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0E83EC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1ECD5E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9D4D5C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CB2AD0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93EA8C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7540F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B82C0D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C1A565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6"/>
  </w:num>
  <w:num w:numId="3">
    <w:abstractNumId w:val="9"/>
  </w:num>
  <w:num w:numId="4">
    <w:abstractNumId w:val="1"/>
  </w:num>
  <w:num w:numId="5">
    <w:abstractNumId w:val="7"/>
  </w:num>
  <w:num w:numId="6">
    <w:abstractNumId w:val="12"/>
  </w:num>
  <w:num w:numId="7">
    <w:abstractNumId w:val="13"/>
  </w:num>
  <w:num w:numId="8">
    <w:abstractNumId w:val="8"/>
  </w:num>
  <w:num w:numId="9">
    <w:abstractNumId w:val="14"/>
  </w:num>
  <w:num w:numId="10">
    <w:abstractNumId w:val="4"/>
  </w:num>
  <w:num w:numId="11">
    <w:abstractNumId w:val="11"/>
  </w:num>
  <w:num w:numId="12">
    <w:abstractNumId w:val="10"/>
  </w:num>
  <w:num w:numId="13">
    <w:abstractNumId w:val="5"/>
  </w:num>
  <w:num w:numId="14">
    <w:abstractNumId w:val="2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438C"/>
    <w:rsid w:val="0013316D"/>
    <w:rsid w:val="0027196A"/>
    <w:rsid w:val="002A5AEB"/>
    <w:rsid w:val="00405ECD"/>
    <w:rsid w:val="00544E94"/>
    <w:rsid w:val="00551FFA"/>
    <w:rsid w:val="005D438C"/>
    <w:rsid w:val="00C66457"/>
    <w:rsid w:val="00DE7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0F8BCC"/>
  <w15:docId w15:val="{DE97E675-8E08-452E-9C36-713128B84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1"/>
    <w:qFormat/>
  </w:style>
  <w:style w:type="paragraph" w:styleId="1">
    <w:name w:val="heading 1"/>
    <w:next w:val="a"/>
    <w:link w:val="110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CaptionChar">
    <w:name w:val="Caption Char"/>
    <w:basedOn w:val="a0"/>
    <w:uiPriority w:val="35"/>
    <w:rPr>
      <w:b/>
      <w:bCs/>
      <w:color w:val="5B9BD5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link w:val="a6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6">
    <w:name w:val="Название объекта Знак"/>
    <w:basedOn w:val="a0"/>
    <w:link w:val="a5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0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7">
    <w:name w:val="footnote text"/>
    <w:basedOn w:val="a"/>
    <w:link w:val="a8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8">
    <w:name w:val="Текст сноски Знак"/>
    <w:link w:val="a7"/>
    <w:uiPriority w:val="99"/>
    <w:rPr>
      <w:sz w:val="18"/>
    </w:rPr>
  </w:style>
  <w:style w:type="character" w:styleId="a9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ab">
    <w:name w:val="TOC Heading"/>
    <w:uiPriority w:val="39"/>
    <w:unhideWhenUsed/>
  </w:style>
  <w:style w:type="paragraph" w:styleId="ac">
    <w:name w:val="table of figures"/>
    <w:basedOn w:val="a"/>
    <w:next w:val="a"/>
    <w:uiPriority w:val="99"/>
    <w:unhideWhenUsed/>
    <w:pPr>
      <w:spacing w:after="0"/>
    </w:pPr>
  </w:style>
  <w:style w:type="character" w:customStyle="1" w:styleId="12">
    <w:name w:val="Обычный1"/>
  </w:style>
  <w:style w:type="paragraph" w:customStyle="1" w:styleId="xl99">
    <w:name w:val="xl99"/>
    <w:basedOn w:val="a"/>
    <w:link w:val="xl99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1">
    <w:name w:val="xl991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1">
    <w:name w:val="xl91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1">
    <w:name w:val="xl1071"/>
    <w:basedOn w:val="12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3">
    <w:name w:val="Гиперссылка1"/>
    <w:link w:val="15"/>
    <w:rPr>
      <w:color w:val="0000FF"/>
      <w:u w:val="single"/>
    </w:rPr>
  </w:style>
  <w:style w:type="character" w:customStyle="1" w:styleId="15">
    <w:name w:val="Гиперссылка15"/>
    <w:link w:val="13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d">
    <w:name w:val="Normal (Web)"/>
    <w:basedOn w:val="a"/>
    <w:link w:val="ae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e">
    <w:name w:val="Обычный (веб) Знак"/>
    <w:basedOn w:val="12"/>
    <w:link w:val="ad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1">
    <w:name w:val="xl1031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1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1">
    <w:name w:val="xl721"/>
    <w:basedOn w:val="12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6"/>
    <w:link w:val="150"/>
  </w:style>
  <w:style w:type="character" w:customStyle="1" w:styleId="150">
    <w:name w:val="Обычный15"/>
    <w:link w:val="16"/>
  </w:style>
  <w:style w:type="paragraph" w:customStyle="1" w:styleId="14">
    <w:name w:val="Основной шрифт абзаца1"/>
    <w:link w:val="130"/>
  </w:style>
  <w:style w:type="character" w:customStyle="1" w:styleId="130">
    <w:name w:val="Основной шрифт абзаца13"/>
    <w:link w:val="14"/>
  </w:style>
  <w:style w:type="paragraph" w:customStyle="1" w:styleId="ConsNormal">
    <w:name w:val="ConsNormal"/>
    <w:link w:val="ConsNormal1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1">
    <w:name w:val="ConsNormal1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1">
    <w:name w:val="xl851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4"/>
    <w:link w:val="apple-converted-space1"/>
  </w:style>
  <w:style w:type="character" w:customStyle="1" w:styleId="apple-converted-space1">
    <w:name w:val="apple-converted-space1"/>
    <w:basedOn w:val="130"/>
    <w:link w:val="apple-converted-space"/>
  </w:style>
  <w:style w:type="paragraph" w:customStyle="1" w:styleId="xl93">
    <w:name w:val="xl93"/>
    <w:basedOn w:val="a"/>
    <w:link w:val="xl93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1">
    <w:name w:val="xl931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1">
    <w:name w:val="xl981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7">
    <w:name w:val="Знак примечания1"/>
    <w:link w:val="131"/>
    <w:rPr>
      <w:sz w:val="16"/>
    </w:rPr>
  </w:style>
  <w:style w:type="character" w:customStyle="1" w:styleId="131">
    <w:name w:val="Знак примечания13"/>
    <w:link w:val="17"/>
    <w:rPr>
      <w:sz w:val="16"/>
    </w:rPr>
  </w:style>
  <w:style w:type="paragraph" w:customStyle="1" w:styleId="font0">
    <w:name w:val="font0"/>
    <w:basedOn w:val="a"/>
    <w:link w:val="font01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1">
    <w:name w:val="font01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1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1">
    <w:name w:val="xl881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40">
    <w:name w:val="Гиперссылка14"/>
    <w:basedOn w:val="14"/>
    <w:link w:val="132"/>
    <w:rPr>
      <w:color w:val="0000FF"/>
      <w:u w:val="single"/>
    </w:rPr>
  </w:style>
  <w:style w:type="character" w:customStyle="1" w:styleId="132">
    <w:name w:val="Гиперссылка13"/>
    <w:basedOn w:val="130"/>
    <w:link w:val="140"/>
    <w:rPr>
      <w:color w:val="0000FF"/>
      <w:u w:val="single"/>
    </w:rPr>
  </w:style>
  <w:style w:type="paragraph" w:styleId="af">
    <w:name w:val="footer"/>
    <w:basedOn w:val="a"/>
    <w:link w:val="af0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0">
    <w:name w:val="Нижний колонтитул Знак"/>
    <w:basedOn w:val="12"/>
    <w:link w:val="af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1">
    <w:name w:val="xl791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1">
    <w:name w:val="xl831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1">
    <w:name w:val="xl741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1">
    <w:name w:val="xl841"/>
    <w:basedOn w:val="12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1">
    <w:name w:val="xl771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1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1">
    <w:name w:val="ConsTitle1"/>
    <w:link w:val="ConsTitle"/>
    <w:rPr>
      <w:rFonts w:ascii="Arial" w:hAnsi="Arial"/>
      <w:b/>
      <w:sz w:val="16"/>
    </w:rPr>
  </w:style>
  <w:style w:type="paragraph" w:customStyle="1" w:styleId="120">
    <w:name w:val="Основной шрифт абзаца12"/>
    <w:link w:val="111"/>
  </w:style>
  <w:style w:type="character" w:customStyle="1" w:styleId="111">
    <w:name w:val="Основной шрифт абзаца11"/>
    <w:link w:val="120"/>
  </w:style>
  <w:style w:type="paragraph" w:customStyle="1" w:styleId="18">
    <w:name w:val="Заголовок 1 Знак"/>
    <w:link w:val="121"/>
    <w:rPr>
      <w:rFonts w:ascii="XO Thames" w:hAnsi="XO Thames"/>
      <w:b/>
      <w:sz w:val="32"/>
    </w:rPr>
  </w:style>
  <w:style w:type="character" w:customStyle="1" w:styleId="121">
    <w:name w:val="Заголовок 1 Знак2"/>
    <w:link w:val="18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4"/>
    <w:link w:val="apple-style-span1"/>
  </w:style>
  <w:style w:type="character" w:customStyle="1" w:styleId="apple-style-span1">
    <w:name w:val="apple-style-span1"/>
    <w:basedOn w:val="130"/>
    <w:link w:val="apple-style-span"/>
  </w:style>
  <w:style w:type="paragraph" w:customStyle="1" w:styleId="xl75">
    <w:name w:val="xl75"/>
    <w:basedOn w:val="a"/>
    <w:link w:val="xl75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1">
    <w:name w:val="xl751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1">
    <w:name w:val="xl731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1">
    <w:name w:val="xl681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1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1">
    <w:name w:val="font61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1">
    <w:name w:val="xl901"/>
    <w:basedOn w:val="12"/>
    <w:link w:val="xl90"/>
    <w:rPr>
      <w:rFonts w:ascii="Times New Roman" w:hAnsi="Times New Roman"/>
      <w:b/>
      <w:color w:val="000000"/>
      <w:sz w:val="24"/>
    </w:rPr>
  </w:style>
  <w:style w:type="paragraph" w:styleId="af1">
    <w:name w:val="Balloon Text"/>
    <w:basedOn w:val="a"/>
    <w:link w:val="af2"/>
    <w:pPr>
      <w:spacing w:after="0" w:line="240" w:lineRule="auto"/>
    </w:pPr>
    <w:rPr>
      <w:rFonts w:ascii="Tahoma" w:hAnsi="Tahoma"/>
      <w:sz w:val="16"/>
    </w:rPr>
  </w:style>
  <w:style w:type="character" w:customStyle="1" w:styleId="af2">
    <w:name w:val="Текст выноски Знак"/>
    <w:basedOn w:val="12"/>
    <w:link w:val="af1"/>
    <w:rPr>
      <w:rFonts w:ascii="Tahoma" w:hAnsi="Tahoma"/>
      <w:sz w:val="16"/>
    </w:rPr>
  </w:style>
  <w:style w:type="paragraph" w:customStyle="1" w:styleId="xl71">
    <w:name w:val="xl71"/>
    <w:basedOn w:val="a"/>
    <w:link w:val="xl71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1">
    <w:name w:val="xl71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1">
    <w:name w:val="xl961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1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1">
    <w:name w:val="font51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1">
    <w:name w:val="xl971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1">
    <w:name w:val="ConsNonformat1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1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1">
    <w:name w:val="xl701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0">
    <w:name w:val="Заголовок 1 Знак1"/>
    <w:link w:val="1"/>
    <w:rPr>
      <w:rFonts w:ascii="XO Thames" w:hAnsi="XO Thames"/>
      <w:b/>
      <w:sz w:val="32"/>
    </w:rPr>
  </w:style>
  <w:style w:type="paragraph" w:customStyle="1" w:styleId="122">
    <w:name w:val="Гиперссылка12"/>
    <w:link w:val="112"/>
    <w:rPr>
      <w:color w:val="0000FF"/>
      <w:u w:val="single"/>
    </w:rPr>
  </w:style>
  <w:style w:type="character" w:customStyle="1" w:styleId="112">
    <w:name w:val="Гиперссылка11"/>
    <w:link w:val="122"/>
    <w:rPr>
      <w:color w:val="0000FF"/>
      <w:u w:val="single"/>
    </w:rPr>
  </w:style>
  <w:style w:type="paragraph" w:customStyle="1" w:styleId="xl104">
    <w:name w:val="xl104"/>
    <w:basedOn w:val="a"/>
    <w:link w:val="xl1041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1">
    <w:name w:val="xl1041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1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1">
    <w:name w:val="xl1061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1"/>
    <w:basedOn w:val="12"/>
    <w:link w:val="msonormal0"/>
    <w:rPr>
      <w:rFonts w:ascii="Times New Roman" w:hAnsi="Times New Roman"/>
      <w:color w:val="000000"/>
      <w:sz w:val="24"/>
    </w:rPr>
  </w:style>
  <w:style w:type="paragraph" w:styleId="af3">
    <w:name w:val="endnote text"/>
    <w:basedOn w:val="a"/>
    <w:link w:val="af4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4">
    <w:name w:val="Текст концевой сноски Знак"/>
    <w:basedOn w:val="12"/>
    <w:link w:val="af3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1">
    <w:name w:val="xl861"/>
    <w:basedOn w:val="12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5"/>
    <w:rPr>
      <w:color w:val="0000FF"/>
      <w:u w:val="single"/>
    </w:rPr>
  </w:style>
  <w:style w:type="character" w:styleId="af5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1">
    <w:name w:val="Footnote1"/>
    <w:basedOn w:val="12"/>
    <w:link w:val="Footnote"/>
    <w:rPr>
      <w:rFonts w:ascii="Times New Roman" w:hAnsi="Times New Roman"/>
      <w:sz w:val="20"/>
    </w:rPr>
  </w:style>
  <w:style w:type="paragraph" w:styleId="19">
    <w:name w:val="toc 1"/>
    <w:next w:val="a"/>
    <w:link w:val="1a"/>
    <w:uiPriority w:val="39"/>
    <w:rPr>
      <w:rFonts w:ascii="XO Thames" w:hAnsi="XO Thames"/>
      <w:b/>
      <w:sz w:val="28"/>
    </w:rPr>
  </w:style>
  <w:style w:type="character" w:customStyle="1" w:styleId="1a">
    <w:name w:val="Оглавление 1 Знак"/>
    <w:link w:val="1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1">
    <w:name w:val="xl941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1">
    <w:name w:val="xl891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1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1">
    <w:name w:val="Header and Footer1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1">
    <w:name w:val="xl691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1">
    <w:name w:val="xl801"/>
    <w:basedOn w:val="12"/>
    <w:link w:val="xl80"/>
    <w:rPr>
      <w:rFonts w:ascii="Arial" w:hAnsi="Arial"/>
      <w:color w:val="000000"/>
      <w:sz w:val="24"/>
    </w:rPr>
  </w:style>
  <w:style w:type="paragraph" w:customStyle="1" w:styleId="1b">
    <w:name w:val="Знак концевой сноски1"/>
    <w:link w:val="113"/>
    <w:rPr>
      <w:vertAlign w:val="superscript"/>
    </w:rPr>
  </w:style>
  <w:style w:type="character" w:customStyle="1" w:styleId="113">
    <w:name w:val="Знак концевой сноски11"/>
    <w:link w:val="1b"/>
    <w:rPr>
      <w:vertAlign w:val="superscript"/>
    </w:rPr>
  </w:style>
  <w:style w:type="paragraph" w:customStyle="1" w:styleId="xl81">
    <w:name w:val="xl81"/>
    <w:basedOn w:val="a"/>
    <w:link w:val="xl81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1">
    <w:name w:val="xl811"/>
    <w:basedOn w:val="12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1">
    <w:name w:val="xl951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23">
    <w:name w:val="Знак примечания12"/>
    <w:basedOn w:val="220"/>
    <w:link w:val="114"/>
    <w:rPr>
      <w:sz w:val="16"/>
    </w:rPr>
  </w:style>
  <w:style w:type="character" w:customStyle="1" w:styleId="114">
    <w:name w:val="Знак примечания11"/>
    <w:basedOn w:val="210"/>
    <w:link w:val="123"/>
    <w:rPr>
      <w:sz w:val="16"/>
    </w:rPr>
  </w:style>
  <w:style w:type="paragraph" w:customStyle="1" w:styleId="xl78">
    <w:name w:val="xl78"/>
    <w:basedOn w:val="a"/>
    <w:link w:val="xl78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1">
    <w:name w:val="xl781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1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1">
    <w:name w:val="ConsCell1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1">
    <w:name w:val="xl761"/>
    <w:basedOn w:val="12"/>
    <w:link w:val="xl76"/>
    <w:rPr>
      <w:rFonts w:ascii="Arial" w:hAnsi="Arial"/>
      <w:color w:val="000000"/>
      <w:sz w:val="24"/>
    </w:rPr>
  </w:style>
  <w:style w:type="paragraph" w:styleId="28">
    <w:name w:val="Body Text Indent 2"/>
    <w:basedOn w:val="a"/>
    <w:link w:val="29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9">
    <w:name w:val="Основной текст с отступом 2 Знак"/>
    <w:basedOn w:val="12"/>
    <w:link w:val="28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1">
    <w:name w:val="xl671"/>
    <w:basedOn w:val="12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6">
    <w:name w:val="annotation subject"/>
    <w:basedOn w:val="af7"/>
    <w:next w:val="af7"/>
    <w:link w:val="af8"/>
    <w:rPr>
      <w:b/>
    </w:rPr>
  </w:style>
  <w:style w:type="character" w:customStyle="1" w:styleId="af8">
    <w:name w:val="Тема примечания Знак"/>
    <w:basedOn w:val="af9"/>
    <w:link w:val="af6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1">
    <w:name w:val="xl921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c">
    <w:name w:val="Знак сноски1"/>
    <w:link w:val="115"/>
    <w:rPr>
      <w:vertAlign w:val="superscript"/>
    </w:rPr>
  </w:style>
  <w:style w:type="character" w:customStyle="1" w:styleId="115">
    <w:name w:val="Знак сноски11"/>
    <w:link w:val="1c"/>
    <w:rPr>
      <w:vertAlign w:val="superscript"/>
    </w:rPr>
  </w:style>
  <w:style w:type="paragraph" w:customStyle="1" w:styleId="xl82">
    <w:name w:val="xl82"/>
    <w:basedOn w:val="a"/>
    <w:link w:val="xl82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1">
    <w:name w:val="xl821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1">
    <w:name w:val="xl101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1">
    <w:name w:val="ConsDocList1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1">
    <w:name w:val="xl871"/>
    <w:basedOn w:val="12"/>
    <w:link w:val="xl87"/>
    <w:rPr>
      <w:rFonts w:ascii="Times New Roman" w:hAnsi="Times New Roman"/>
      <w:color w:val="000000"/>
      <w:sz w:val="24"/>
    </w:rPr>
  </w:style>
  <w:style w:type="paragraph" w:styleId="afa">
    <w:name w:val="header"/>
    <w:basedOn w:val="a"/>
    <w:link w:val="af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b">
    <w:name w:val="Верхний колонтитул Знак"/>
    <w:basedOn w:val="12"/>
    <w:link w:val="afa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d">
    <w:name w:val="Основной текст1"/>
    <w:link w:val="116"/>
    <w:rPr>
      <w:highlight w:val="white"/>
    </w:rPr>
  </w:style>
  <w:style w:type="character" w:customStyle="1" w:styleId="116">
    <w:name w:val="Основной текст11"/>
    <w:link w:val="1d"/>
    <w:rPr>
      <w:highlight w:val="white"/>
    </w:rPr>
  </w:style>
  <w:style w:type="paragraph" w:customStyle="1" w:styleId="xl66">
    <w:name w:val="xl66"/>
    <w:basedOn w:val="a"/>
    <w:link w:val="xl66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1">
    <w:name w:val="xl661"/>
    <w:basedOn w:val="12"/>
    <w:link w:val="xl66"/>
    <w:rPr>
      <w:rFonts w:ascii="Times New Roman" w:hAnsi="Times New Roman"/>
      <w:color w:val="000000"/>
      <w:sz w:val="24"/>
    </w:rPr>
  </w:style>
  <w:style w:type="paragraph" w:styleId="afc">
    <w:name w:val="List Paragraph"/>
    <w:basedOn w:val="a"/>
    <w:link w:val="afd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d">
    <w:name w:val="Абзац списка Знак"/>
    <w:basedOn w:val="12"/>
    <w:link w:val="afc"/>
    <w:rPr>
      <w:rFonts w:ascii="Calibri" w:hAnsi="Calibri"/>
    </w:rPr>
  </w:style>
  <w:style w:type="paragraph" w:customStyle="1" w:styleId="xl100">
    <w:name w:val="xl100"/>
    <w:basedOn w:val="a"/>
    <w:link w:val="xl100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1">
    <w:name w:val="xl1001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1">
    <w:name w:val="xl1051"/>
    <w:basedOn w:val="12"/>
    <w:link w:val="xl105"/>
    <w:rPr>
      <w:rFonts w:ascii="Arial Cyr" w:hAnsi="Arial Cyr"/>
      <w:b/>
      <w:color w:val="000000"/>
      <w:sz w:val="24"/>
    </w:rPr>
  </w:style>
  <w:style w:type="paragraph" w:styleId="afe">
    <w:name w:val="No Spacing"/>
    <w:link w:val="aff"/>
    <w:pPr>
      <w:spacing w:after="0" w:line="240" w:lineRule="auto"/>
    </w:pPr>
  </w:style>
  <w:style w:type="character" w:customStyle="1" w:styleId="aff">
    <w:name w:val="Без интервала Знак"/>
    <w:link w:val="afe"/>
  </w:style>
  <w:style w:type="paragraph" w:customStyle="1" w:styleId="xl102">
    <w:name w:val="xl102"/>
    <w:basedOn w:val="a"/>
    <w:link w:val="xl102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1">
    <w:name w:val="xl1021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f0">
    <w:name w:val="Subtitle"/>
    <w:next w:val="a"/>
    <w:link w:val="aff1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1">
    <w:name w:val="Подзаголовок Знак"/>
    <w:link w:val="aff0"/>
    <w:rPr>
      <w:rFonts w:ascii="XO Thames" w:hAnsi="XO Thames"/>
      <w:i/>
      <w:sz w:val="24"/>
    </w:rPr>
  </w:style>
  <w:style w:type="paragraph" w:styleId="aff2">
    <w:name w:val="Body Text"/>
    <w:basedOn w:val="a"/>
    <w:link w:val="aff3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3">
    <w:name w:val="Основной текст Знак"/>
    <w:basedOn w:val="12"/>
    <w:link w:val="aff2"/>
    <w:rPr>
      <w:rFonts w:ascii="Times New Roman" w:hAnsi="Times New Roman"/>
    </w:rPr>
  </w:style>
  <w:style w:type="paragraph" w:styleId="aff4">
    <w:name w:val="Title"/>
    <w:next w:val="a"/>
    <w:link w:val="aff5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5">
    <w:name w:val="Заголовок Знак"/>
    <w:link w:val="aff4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7">
    <w:name w:val="annotation text"/>
    <w:basedOn w:val="a"/>
    <w:link w:val="af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9">
    <w:name w:val="Текст примечания Знак"/>
    <w:basedOn w:val="12"/>
    <w:link w:val="af7"/>
    <w:rPr>
      <w:rFonts w:ascii="Times New Roman" w:hAnsi="Times New Roman"/>
      <w:sz w:val="20"/>
    </w:rPr>
  </w:style>
  <w:style w:type="paragraph" w:customStyle="1" w:styleId="220">
    <w:name w:val="Основной шрифт абзаца22"/>
    <w:link w:val="210"/>
  </w:style>
  <w:style w:type="character" w:customStyle="1" w:styleId="210">
    <w:name w:val="Основной шрифт абзаца21"/>
    <w:link w:val="220"/>
  </w:style>
  <w:style w:type="paragraph" w:customStyle="1" w:styleId="141">
    <w:name w:val="Обычный14"/>
    <w:link w:val="133"/>
  </w:style>
  <w:style w:type="character" w:customStyle="1" w:styleId="133">
    <w:name w:val="Обычный13"/>
    <w:link w:val="141"/>
  </w:style>
  <w:style w:type="paragraph" w:customStyle="1" w:styleId="124">
    <w:name w:val="Обычный12"/>
    <w:link w:val="11"/>
  </w:style>
  <w:style w:type="character" w:customStyle="1" w:styleId="11">
    <w:name w:val="Обычный11"/>
    <w:link w:val="124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f6">
    <w:name w:val="Body Text Indent"/>
    <w:basedOn w:val="a"/>
    <w:link w:val="aff7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7">
    <w:name w:val="Основной текст с отступом Знак"/>
    <w:basedOn w:val="12"/>
    <w:link w:val="aff6"/>
    <w:rPr>
      <w:rFonts w:ascii="Times New Roman" w:hAnsi="Times New Roman"/>
      <w:sz w:val="24"/>
    </w:rPr>
  </w:style>
  <w:style w:type="paragraph" w:customStyle="1" w:styleId="1e">
    <w:name w:val="Просмотренная гиперссылка1"/>
    <w:basedOn w:val="26"/>
    <w:link w:val="aff8"/>
    <w:rPr>
      <w:color w:val="800080"/>
      <w:u w:val="single"/>
    </w:rPr>
  </w:style>
  <w:style w:type="character" w:styleId="aff8">
    <w:name w:val="FollowedHyperlink"/>
    <w:basedOn w:val="a0"/>
    <w:link w:val="1e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9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a">
    <w:name w:val="annotation reference"/>
    <w:basedOn w:val="a0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7.png"/><Relationship Id="rId39" Type="http://schemas.microsoft.com/office/2016/09/relationships/commentsIds" Target="commentsIds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7" Type="http://schemas.openxmlformats.org/officeDocument/2006/relationships/image" Target="media/image20.png"/><Relationship Id="rId25" Type="http://schemas.openxmlformats.org/officeDocument/2006/relationships/image" Target="media/image60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4.png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6.png"/><Relationship Id="rId32" Type="http://schemas.openxmlformats.org/officeDocument/2006/relationships/header" Target="header2.xml"/><Relationship Id="rId40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50.png"/><Relationship Id="rId28" Type="http://schemas.openxmlformats.org/officeDocument/2006/relationships/image" Target="media/image8.png"/><Relationship Id="rId10" Type="http://schemas.openxmlformats.org/officeDocument/2006/relationships/image" Target="media/image1.png"/><Relationship Id="rId19" Type="http://schemas.openxmlformats.org/officeDocument/2006/relationships/image" Target="media/image30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7" Type="http://schemas.openxmlformats.org/officeDocument/2006/relationships/image" Target="media/image70.png"/><Relationship Id="rId30" Type="http://schemas.openxmlformats.org/officeDocument/2006/relationships/image" Target="media/image1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166575-CD4D-41C2-BB9E-FF77D174BE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9391</Words>
  <Characters>53530</Characters>
  <Application>Microsoft Office Word</Application>
  <DocSecurity>0</DocSecurity>
  <Lines>446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user08122021@user.com</cp:lastModifiedBy>
  <cp:revision>15</cp:revision>
  <cp:lastPrinted>2025-05-13T10:47:00Z</cp:lastPrinted>
  <dcterms:created xsi:type="dcterms:W3CDTF">2025-05-13T07:56:00Z</dcterms:created>
  <dcterms:modified xsi:type="dcterms:W3CDTF">2025-05-13T13:18:00Z</dcterms:modified>
</cp:coreProperties>
</file>